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9CF1" w14:textId="77777777" w:rsidR="001C2446" w:rsidRDefault="001C2446" w:rsidP="001C2446">
      <w:pPr>
        <w:rPr>
          <w:rFonts w:ascii="Arial" w:hAnsi="Arial" w:cs="Arial"/>
          <w:sz w:val="52"/>
          <w:szCs w:val="52"/>
        </w:rPr>
      </w:pPr>
    </w:p>
    <w:p w14:paraId="4009BB98" w14:textId="77777777" w:rsidR="001C2446" w:rsidRDefault="001C2446" w:rsidP="001C2446">
      <w:pPr>
        <w:rPr>
          <w:rFonts w:ascii="Arial" w:hAnsi="Arial" w:cs="Arial"/>
          <w:sz w:val="52"/>
          <w:szCs w:val="52"/>
        </w:rPr>
      </w:pPr>
    </w:p>
    <w:p w14:paraId="506E7B60" w14:textId="36D49358" w:rsidR="001C2446" w:rsidRPr="0077166F" w:rsidRDefault="0077166F" w:rsidP="001C2446">
      <w:pPr>
        <w:rPr>
          <w:rFonts w:ascii="Arial" w:hAnsi="Arial" w:cs="Arial"/>
          <w:b/>
          <w:bCs/>
          <w:sz w:val="52"/>
          <w:szCs w:val="52"/>
        </w:rPr>
      </w:pPr>
      <w:r w:rsidRPr="0077166F">
        <w:rPr>
          <w:rFonts w:ascii="Arial" w:hAnsi="Arial" w:cs="Arial"/>
          <w:b/>
          <w:bCs/>
          <w:sz w:val="52"/>
          <w:szCs w:val="52"/>
        </w:rPr>
        <w:t>A</w:t>
      </w:r>
      <w:r w:rsidR="00703DB0">
        <w:rPr>
          <w:rFonts w:ascii="Arial" w:hAnsi="Arial" w:cs="Arial"/>
          <w:b/>
          <w:bCs/>
          <w:sz w:val="52"/>
          <w:szCs w:val="52"/>
        </w:rPr>
        <w:t>lachua</w:t>
      </w:r>
      <w:r w:rsidRPr="0077166F">
        <w:rPr>
          <w:rFonts w:ascii="Arial" w:hAnsi="Arial" w:cs="Arial"/>
          <w:b/>
          <w:bCs/>
          <w:sz w:val="52"/>
          <w:szCs w:val="52"/>
        </w:rPr>
        <w:t xml:space="preserve"> C</w:t>
      </w:r>
      <w:r w:rsidR="00703DB0">
        <w:rPr>
          <w:rFonts w:ascii="Arial" w:hAnsi="Arial" w:cs="Arial"/>
          <w:b/>
          <w:bCs/>
          <w:sz w:val="52"/>
          <w:szCs w:val="52"/>
        </w:rPr>
        <w:t>ounty</w:t>
      </w:r>
    </w:p>
    <w:p w14:paraId="398004D1" w14:textId="77777777" w:rsidR="001C2446" w:rsidRPr="00F366B0" w:rsidRDefault="001C2446" w:rsidP="001C2446">
      <w:pPr>
        <w:rPr>
          <w:rFonts w:ascii="Arial" w:hAnsi="Arial" w:cs="Arial"/>
          <w:b/>
          <w:bCs/>
          <w:sz w:val="52"/>
          <w:szCs w:val="52"/>
        </w:rPr>
      </w:pPr>
      <w:r w:rsidRPr="00F366B0">
        <w:rPr>
          <w:rFonts w:ascii="Arial" w:hAnsi="Arial" w:cs="Arial"/>
          <w:b/>
          <w:bCs/>
          <w:sz w:val="52"/>
          <w:szCs w:val="52"/>
        </w:rPr>
        <w:t xml:space="preserve">Recovery Plan </w:t>
      </w:r>
    </w:p>
    <w:p w14:paraId="7F4591D3" w14:textId="77777777" w:rsidR="001C2446" w:rsidRDefault="001C2446" w:rsidP="001C2446">
      <w:pPr>
        <w:rPr>
          <w:sz w:val="52"/>
          <w:szCs w:val="52"/>
        </w:rPr>
      </w:pPr>
    </w:p>
    <w:p w14:paraId="2AF84BEE" w14:textId="77777777" w:rsidR="001C2446" w:rsidRDefault="001C2446" w:rsidP="001C2446">
      <w:pPr>
        <w:rPr>
          <w:sz w:val="52"/>
          <w:szCs w:val="52"/>
        </w:rPr>
      </w:pPr>
    </w:p>
    <w:p w14:paraId="1285C21B" w14:textId="77777777" w:rsidR="001C2446" w:rsidRPr="00F366B0" w:rsidRDefault="001C2446" w:rsidP="001C2446">
      <w:pPr>
        <w:rPr>
          <w:rFonts w:ascii="Arial" w:hAnsi="Arial" w:cs="Arial"/>
          <w:b/>
          <w:bCs/>
          <w:color w:val="44546A" w:themeColor="text2"/>
          <w:sz w:val="52"/>
          <w:szCs w:val="52"/>
        </w:rPr>
      </w:pPr>
      <w:r w:rsidRPr="00F366B0">
        <w:rPr>
          <w:rFonts w:ascii="Arial" w:hAnsi="Arial" w:cs="Arial"/>
          <w:b/>
          <w:bCs/>
          <w:color w:val="44546A" w:themeColor="text2"/>
          <w:sz w:val="52"/>
          <w:szCs w:val="52"/>
        </w:rPr>
        <w:t>State and Local Fiscal Recovery Funds</w:t>
      </w:r>
    </w:p>
    <w:p w14:paraId="307434B7" w14:textId="0EB08A53" w:rsidR="001C2446" w:rsidRDefault="001C2446" w:rsidP="001C2446">
      <w:pPr>
        <w:rPr>
          <w:rFonts w:ascii="Arial" w:hAnsi="Arial" w:cs="Arial"/>
          <w:sz w:val="52"/>
          <w:szCs w:val="52"/>
        </w:rPr>
      </w:pPr>
    </w:p>
    <w:p w14:paraId="25B75B82" w14:textId="78D2C132" w:rsidR="005A558E" w:rsidRPr="00F366B0" w:rsidRDefault="00703DB0" w:rsidP="001C2446">
      <w:pPr>
        <w:rPr>
          <w:rFonts w:ascii="Arial" w:hAnsi="Arial" w:cs="Arial"/>
          <w:sz w:val="52"/>
          <w:szCs w:val="52"/>
        </w:rPr>
      </w:pPr>
      <w:r>
        <w:rPr>
          <w:rFonts w:ascii="Arial" w:hAnsi="Arial" w:cs="Arial"/>
          <w:sz w:val="52"/>
          <w:szCs w:val="52"/>
        </w:rPr>
        <w:t>County Government Santa Fe Hills Water System</w:t>
      </w:r>
    </w:p>
    <w:p w14:paraId="131030DD" w14:textId="77777777" w:rsidR="00E23D7B" w:rsidRPr="00F366B0" w:rsidRDefault="00E23D7B" w:rsidP="00B90454">
      <w:pPr>
        <w:rPr>
          <w:rFonts w:ascii="Arial" w:hAnsi="Arial" w:cs="Arial"/>
          <w:sz w:val="52"/>
          <w:szCs w:val="52"/>
        </w:rPr>
      </w:pPr>
    </w:p>
    <w:p w14:paraId="6F2F45A8" w14:textId="77777777" w:rsidR="00E23D7B" w:rsidRDefault="00E23D7B" w:rsidP="00B90454">
      <w:pPr>
        <w:rPr>
          <w:rFonts w:ascii="Arial" w:hAnsi="Arial" w:cs="Arial"/>
        </w:rPr>
      </w:pPr>
    </w:p>
    <w:p w14:paraId="2C79DF6F" w14:textId="77777777" w:rsidR="0007601B" w:rsidRPr="00F366B0" w:rsidRDefault="0007601B" w:rsidP="00B90454">
      <w:pPr>
        <w:rPr>
          <w:rFonts w:ascii="Arial" w:hAnsi="Arial" w:cs="Arial"/>
        </w:rPr>
      </w:pPr>
    </w:p>
    <w:p w14:paraId="569088BD" w14:textId="77777777" w:rsidR="001C2446" w:rsidRDefault="001C2446" w:rsidP="00F0452F">
      <w:pPr>
        <w:jc w:val="center"/>
        <w:rPr>
          <w:rFonts w:ascii="Arial" w:hAnsi="Arial" w:cs="Arial"/>
          <w:b/>
          <w:bCs/>
          <w:color w:val="44546A" w:themeColor="text2"/>
          <w:sz w:val="26"/>
          <w:szCs w:val="26"/>
        </w:rPr>
      </w:pPr>
    </w:p>
    <w:p w14:paraId="17580599" w14:textId="77777777" w:rsidR="001C2446" w:rsidRDefault="001C2446" w:rsidP="00F0452F">
      <w:pPr>
        <w:jc w:val="center"/>
        <w:rPr>
          <w:rFonts w:ascii="Arial" w:hAnsi="Arial" w:cs="Arial"/>
          <w:b/>
          <w:bCs/>
          <w:color w:val="44546A" w:themeColor="text2"/>
          <w:sz w:val="26"/>
          <w:szCs w:val="26"/>
        </w:rPr>
      </w:pPr>
    </w:p>
    <w:p w14:paraId="4CFB4361" w14:textId="77777777" w:rsidR="001C2446" w:rsidRDefault="001C2446" w:rsidP="00F0452F">
      <w:pPr>
        <w:jc w:val="center"/>
        <w:rPr>
          <w:rFonts w:ascii="Arial" w:hAnsi="Arial" w:cs="Arial"/>
          <w:b/>
          <w:bCs/>
          <w:color w:val="44546A" w:themeColor="text2"/>
          <w:sz w:val="26"/>
          <w:szCs w:val="26"/>
        </w:rPr>
      </w:pPr>
    </w:p>
    <w:p w14:paraId="765BE170" w14:textId="77777777" w:rsidR="001C2446" w:rsidRDefault="001C2446" w:rsidP="00F0452F">
      <w:pPr>
        <w:jc w:val="center"/>
        <w:rPr>
          <w:rFonts w:ascii="Arial" w:hAnsi="Arial" w:cs="Arial"/>
          <w:b/>
          <w:bCs/>
          <w:color w:val="44546A" w:themeColor="text2"/>
          <w:sz w:val="26"/>
          <w:szCs w:val="26"/>
        </w:rPr>
      </w:pPr>
    </w:p>
    <w:p w14:paraId="76DAADA9" w14:textId="48CA339D" w:rsidR="00296209" w:rsidRPr="00703DB0" w:rsidRDefault="00296209" w:rsidP="00703DB0">
      <w:pPr>
        <w:rPr>
          <w:rFonts w:ascii="Arial" w:hAnsi="Arial" w:cs="Arial"/>
          <w:b/>
          <w:bCs/>
          <w:color w:val="44546A" w:themeColor="text2"/>
          <w:sz w:val="26"/>
          <w:szCs w:val="26"/>
        </w:rPr>
      </w:pPr>
    </w:p>
    <w:p w14:paraId="2D55B90A" w14:textId="52DA96F4" w:rsidR="0068053D" w:rsidRPr="000A1EC0" w:rsidRDefault="0068053D">
      <w:pPr>
        <w:rPr>
          <w:rFonts w:ascii="Arial Narrow" w:hAnsi="Arial Narrow" w:cs="Arial"/>
          <w:color w:val="44546A" w:themeColor="text2"/>
        </w:rPr>
      </w:pPr>
      <w:r w:rsidRPr="000A1EC0">
        <w:rPr>
          <w:rFonts w:ascii="Arial Narrow" w:hAnsi="Arial Narrow" w:cs="Arial"/>
          <w:color w:val="44546A" w:themeColor="text2"/>
        </w:rPr>
        <w:br w:type="page"/>
      </w:r>
    </w:p>
    <w:p w14:paraId="26DDF06D" w14:textId="25F74DBE" w:rsidR="00296209" w:rsidRPr="00807051" w:rsidRDefault="0068053D" w:rsidP="00296209">
      <w:pPr>
        <w:rPr>
          <w:rFonts w:ascii="Arial" w:hAnsi="Arial" w:cs="Arial"/>
          <w:b/>
          <w:bCs/>
          <w:color w:val="44546A" w:themeColor="text2"/>
          <w:u w:val="single"/>
        </w:rPr>
      </w:pPr>
      <w:r w:rsidRPr="00807051">
        <w:rPr>
          <w:rFonts w:ascii="Arial" w:hAnsi="Arial" w:cs="Arial"/>
          <w:b/>
          <w:bCs/>
          <w:color w:val="44546A" w:themeColor="text2"/>
          <w:u w:val="single"/>
        </w:rPr>
        <w:t>GENERAL OVERVIEW</w:t>
      </w:r>
    </w:p>
    <w:p w14:paraId="08797339" w14:textId="49BA1E81" w:rsidR="00E323F2" w:rsidRDefault="001E5F72" w:rsidP="000A1EC0">
      <w:pPr>
        <w:tabs>
          <w:tab w:val="left" w:pos="7050"/>
        </w:tabs>
        <w:rPr>
          <w:rFonts w:ascii="Arial" w:hAnsi="Arial" w:cs="Arial"/>
          <w:b/>
        </w:rPr>
      </w:pPr>
      <w:r w:rsidRPr="00285473">
        <w:rPr>
          <w:rFonts w:ascii="Arial" w:hAnsi="Arial" w:cs="Arial"/>
          <w:b/>
        </w:rPr>
        <w:t xml:space="preserve">Executive Summary </w:t>
      </w:r>
    </w:p>
    <w:p w14:paraId="043113A8" w14:textId="389B71A0" w:rsidR="007C1E0B" w:rsidRPr="00835E26" w:rsidRDefault="007C1E0B" w:rsidP="000A1EC0">
      <w:pPr>
        <w:tabs>
          <w:tab w:val="left" w:pos="7050"/>
        </w:tabs>
        <w:rPr>
          <w:rFonts w:ascii="Arial" w:hAnsi="Arial" w:cs="Arial"/>
          <w:b/>
        </w:rPr>
      </w:pPr>
      <w:r>
        <w:rPr>
          <w:rStyle w:val="fontstyle01"/>
        </w:rPr>
        <w:t>A completely upgraded water supply system within the Santa Fe Hills</w:t>
      </w:r>
      <w:r>
        <w:rPr>
          <w:rFonts w:ascii="Arial" w:hAnsi="Arial" w:cs="Arial"/>
          <w:color w:val="000000"/>
        </w:rPr>
        <w:br/>
      </w:r>
      <w:r>
        <w:rPr>
          <w:rStyle w:val="fontstyle01"/>
        </w:rPr>
        <w:t xml:space="preserve">subdivision, complete with new water mains, meters, and services </w:t>
      </w:r>
      <w:r w:rsidR="0055796F">
        <w:rPr>
          <w:rStyle w:val="fontstyle01"/>
        </w:rPr>
        <w:t xml:space="preserve">lines </w:t>
      </w:r>
      <w:r>
        <w:rPr>
          <w:rStyle w:val="fontstyle01"/>
        </w:rPr>
        <w:t>along</w:t>
      </w:r>
      <w:r>
        <w:rPr>
          <w:rFonts w:ascii="Arial" w:hAnsi="Arial" w:cs="Arial"/>
          <w:color w:val="000000"/>
        </w:rPr>
        <w:br/>
      </w:r>
      <w:r>
        <w:rPr>
          <w:rStyle w:val="fontstyle01"/>
        </w:rPr>
        <w:t xml:space="preserve">residential frontages, </w:t>
      </w:r>
      <w:r w:rsidR="0055796F">
        <w:rPr>
          <w:rStyle w:val="fontstyle01"/>
        </w:rPr>
        <w:t xml:space="preserve">with the intent </w:t>
      </w:r>
      <w:r>
        <w:rPr>
          <w:rStyle w:val="fontstyle01"/>
        </w:rPr>
        <w:t>to consider turning over the entire</w:t>
      </w:r>
      <w:r>
        <w:rPr>
          <w:rFonts w:ascii="Arial" w:hAnsi="Arial" w:cs="Arial"/>
          <w:color w:val="000000"/>
        </w:rPr>
        <w:br/>
      </w:r>
      <w:r>
        <w:rPr>
          <w:rStyle w:val="fontstyle01"/>
        </w:rPr>
        <w:t>system to the City of Alachua.</w:t>
      </w:r>
    </w:p>
    <w:p w14:paraId="5F83F41A" w14:textId="299CBB2E" w:rsidR="00F0452F" w:rsidRDefault="00F0452F" w:rsidP="00E323F2">
      <w:pPr>
        <w:pStyle w:val="ListParagraph"/>
        <w:tabs>
          <w:tab w:val="left" w:pos="7050"/>
        </w:tabs>
        <w:ind w:left="360"/>
        <w:rPr>
          <w:rFonts w:ascii="Arial" w:hAnsi="Arial" w:cs="Arial"/>
          <w:lang w:val="en-IN"/>
        </w:rPr>
      </w:pPr>
    </w:p>
    <w:p w14:paraId="72731E12" w14:textId="056F3B78" w:rsidR="00B90454" w:rsidRPr="00835E26" w:rsidRDefault="00B90454" w:rsidP="000A1EC0">
      <w:pPr>
        <w:tabs>
          <w:tab w:val="left" w:pos="7050"/>
        </w:tabs>
        <w:rPr>
          <w:rFonts w:ascii="Arial" w:hAnsi="Arial" w:cs="Arial"/>
          <w:b/>
        </w:rPr>
      </w:pPr>
      <w:r w:rsidRPr="00285473">
        <w:rPr>
          <w:rFonts w:ascii="Arial" w:hAnsi="Arial" w:cs="Arial"/>
          <w:b/>
        </w:rPr>
        <w:t>Uses of Funds</w:t>
      </w:r>
    </w:p>
    <w:p w14:paraId="4153E998" w14:textId="77777777" w:rsidR="0055796F" w:rsidRPr="0055796F" w:rsidRDefault="0055796F" w:rsidP="0055796F">
      <w:pPr>
        <w:tabs>
          <w:tab w:val="left" w:pos="7050"/>
        </w:tabs>
        <w:rPr>
          <w:rFonts w:ascii="Arial" w:hAnsi="Arial" w:cs="Arial"/>
          <w:i/>
          <w:iCs/>
        </w:rPr>
      </w:pPr>
      <w:r w:rsidRPr="0055796F">
        <w:rPr>
          <w:rFonts w:ascii="Arial" w:hAnsi="Arial" w:cs="Arial"/>
          <w:i/>
          <w:iCs/>
        </w:rPr>
        <w:t>Santa Fe Hills is a subdivided neighborhood located in unincorporated Alachua</w:t>
      </w:r>
      <w:r w:rsidRPr="0055796F">
        <w:rPr>
          <w:rFonts w:ascii="Arial" w:hAnsi="Arial" w:cs="Arial"/>
          <w:i/>
          <w:iCs/>
        </w:rPr>
        <w:br/>
        <w:t>near the city limits of Alachua. The subdivision entrance is located on NW 168th</w:t>
      </w:r>
      <w:r w:rsidRPr="0055796F">
        <w:rPr>
          <w:rFonts w:ascii="Arial" w:hAnsi="Arial" w:cs="Arial"/>
          <w:i/>
          <w:iCs/>
        </w:rPr>
        <w:br/>
        <w:t>Ave. at the intersection with NW 173rd St. (CR 235A), just west of Santa Fe High</w:t>
      </w:r>
      <w:r w:rsidRPr="0055796F">
        <w:rPr>
          <w:rFonts w:ascii="Arial" w:hAnsi="Arial" w:cs="Arial"/>
          <w:i/>
          <w:iCs/>
        </w:rPr>
        <w:br/>
        <w:t>School. The entire subdivision is approximately 30 acres in size and contains 87</w:t>
      </w:r>
      <w:r w:rsidRPr="0055796F">
        <w:rPr>
          <w:rFonts w:ascii="Arial" w:hAnsi="Arial" w:cs="Arial"/>
          <w:i/>
          <w:iCs/>
        </w:rPr>
        <w:br/>
        <w:t>lots, several of which are vacant. The residents of Santa Fe Hills primarily</w:t>
      </w:r>
      <w:r w:rsidRPr="0055796F">
        <w:rPr>
          <w:rFonts w:ascii="Arial" w:hAnsi="Arial" w:cs="Arial"/>
          <w:i/>
          <w:iCs/>
        </w:rPr>
        <w:br/>
        <w:t>receive their potable water from the Santa Fe Hills Water System, whose water</w:t>
      </w:r>
      <w:r w:rsidRPr="0055796F">
        <w:rPr>
          <w:rFonts w:ascii="Arial" w:hAnsi="Arial" w:cs="Arial"/>
          <w:i/>
          <w:iCs/>
        </w:rPr>
        <w:br/>
        <w:t>plant is located on Lot 46 (Alachua County Tax Parcel 03043-046-000) within the</w:t>
      </w:r>
      <w:r w:rsidRPr="0055796F">
        <w:rPr>
          <w:rFonts w:ascii="Arial" w:hAnsi="Arial" w:cs="Arial"/>
          <w:i/>
          <w:iCs/>
        </w:rPr>
        <w:br/>
        <w:t>subdivision.</w:t>
      </w:r>
    </w:p>
    <w:p w14:paraId="0D6F3E56" w14:textId="77777777" w:rsidR="00281905" w:rsidRDefault="0055796F" w:rsidP="0055796F">
      <w:pPr>
        <w:tabs>
          <w:tab w:val="left" w:pos="7050"/>
        </w:tabs>
        <w:rPr>
          <w:rFonts w:ascii="Arial" w:hAnsi="Arial" w:cs="Arial"/>
          <w:i/>
          <w:iCs/>
        </w:rPr>
      </w:pPr>
      <w:r w:rsidRPr="0055796F">
        <w:rPr>
          <w:rFonts w:ascii="Arial" w:hAnsi="Arial" w:cs="Arial"/>
          <w:i/>
          <w:iCs/>
        </w:rPr>
        <w:br/>
        <w:t>Originally a privately owned facility, the Santa Fe Hills Water System was</w:t>
      </w:r>
      <w:r w:rsidRPr="0055796F">
        <w:rPr>
          <w:rFonts w:ascii="Arial" w:hAnsi="Arial" w:cs="Arial"/>
          <w:i/>
          <w:iCs/>
        </w:rPr>
        <w:br/>
        <w:t>constructed in 1966 with the intent to provide potable water to local residents</w:t>
      </w:r>
      <w:r w:rsidRPr="0055796F">
        <w:rPr>
          <w:rFonts w:ascii="Arial" w:hAnsi="Arial" w:cs="Arial"/>
          <w:i/>
          <w:iCs/>
        </w:rPr>
        <w:br/>
        <w:t>who had no other available water source at the time. The system was originally</w:t>
      </w:r>
      <w:r w:rsidRPr="0055796F">
        <w:rPr>
          <w:rFonts w:ascii="Arial" w:hAnsi="Arial" w:cs="Arial"/>
          <w:i/>
          <w:iCs/>
        </w:rPr>
        <w:br/>
        <w:t>constructed by an owner/developer who subdivided his property in 1957 to create Santa Fe Hills. The owner/developer operated the system until 2002 when they notified Alachua County with their intent to abandon the facility. Alachua County took over operation and maintenance of the system in 2002. The County inherited an aged water system that was lacking in detailed design information. The system has been operated</w:t>
      </w:r>
      <w:r>
        <w:rPr>
          <w:rFonts w:ascii="Arial" w:hAnsi="Arial" w:cs="Arial"/>
          <w:i/>
          <w:iCs/>
        </w:rPr>
        <w:t xml:space="preserve"> </w:t>
      </w:r>
      <w:r w:rsidRPr="0055796F">
        <w:rPr>
          <w:rFonts w:ascii="Arial" w:hAnsi="Arial" w:cs="Arial"/>
          <w:i/>
          <w:iCs/>
        </w:rPr>
        <w:t>by Alachua County ever since, and the system has proven to be maintenance</w:t>
      </w:r>
      <w:r>
        <w:rPr>
          <w:rFonts w:ascii="Arial" w:hAnsi="Arial" w:cs="Arial"/>
          <w:i/>
          <w:iCs/>
        </w:rPr>
        <w:t xml:space="preserve"> </w:t>
      </w:r>
      <w:r w:rsidRPr="0055796F">
        <w:rPr>
          <w:rFonts w:ascii="Arial" w:hAnsi="Arial" w:cs="Arial"/>
          <w:i/>
          <w:iCs/>
        </w:rPr>
        <w:t>intensive and there have been some issues with source water quality with the presence of fecal coliform</w:t>
      </w:r>
      <w:r w:rsidR="00281905">
        <w:rPr>
          <w:rFonts w:ascii="Arial" w:hAnsi="Arial" w:cs="Arial"/>
          <w:i/>
          <w:iCs/>
        </w:rPr>
        <w:t>.</w:t>
      </w:r>
    </w:p>
    <w:p w14:paraId="10FE8614" w14:textId="16A1D826" w:rsidR="00281905" w:rsidRPr="0055796F" w:rsidRDefault="00281905" w:rsidP="0055796F">
      <w:pPr>
        <w:tabs>
          <w:tab w:val="left" w:pos="7050"/>
        </w:tabs>
        <w:rPr>
          <w:rFonts w:ascii="Arial" w:hAnsi="Arial" w:cs="Arial"/>
          <w:i/>
          <w:iCs/>
        </w:rPr>
      </w:pPr>
      <w:r>
        <w:rPr>
          <w:rFonts w:ascii="Arial" w:hAnsi="Arial" w:cs="Arial"/>
          <w:i/>
          <w:iCs/>
        </w:rPr>
        <w:t>A judge</w:t>
      </w:r>
      <w:r w:rsidR="00BB224C">
        <w:rPr>
          <w:rFonts w:ascii="Arial" w:hAnsi="Arial" w:cs="Arial"/>
          <w:i/>
          <w:iCs/>
        </w:rPr>
        <w:t>,</w:t>
      </w:r>
      <w:r>
        <w:rPr>
          <w:rFonts w:ascii="Arial" w:hAnsi="Arial" w:cs="Arial"/>
          <w:i/>
          <w:iCs/>
        </w:rPr>
        <w:t xml:space="preserve"> in 2002 ordered that the County </w:t>
      </w:r>
      <w:r w:rsidR="00BB224C">
        <w:rPr>
          <w:rFonts w:ascii="Arial" w:hAnsi="Arial" w:cs="Arial"/>
          <w:i/>
          <w:iCs/>
        </w:rPr>
        <w:t xml:space="preserve">be </w:t>
      </w:r>
      <w:r w:rsidR="001D0A0C">
        <w:rPr>
          <w:rFonts w:ascii="Arial" w:hAnsi="Arial" w:cs="Arial"/>
          <w:i/>
          <w:iCs/>
        </w:rPr>
        <w:t xml:space="preserve">placed </w:t>
      </w:r>
      <w:r w:rsidR="00BB224C">
        <w:rPr>
          <w:rFonts w:ascii="Arial" w:hAnsi="Arial" w:cs="Arial"/>
          <w:i/>
          <w:iCs/>
        </w:rPr>
        <w:t>in receivership of the water system, the County has maintained the system and struggled to keep it in compliance with Florida Department of Environmental Protection (FDEP) requirements due to the age of the system and potential contaminants to the well source.  Frequently</w:t>
      </w:r>
      <w:r w:rsidR="003D400E">
        <w:rPr>
          <w:rFonts w:ascii="Arial" w:hAnsi="Arial" w:cs="Arial"/>
          <w:i/>
          <w:iCs/>
        </w:rPr>
        <w:t xml:space="preserve"> during the monthly testing of the water system, one or both wells have tested positive for fecal coliform and the plant has had to switch wells or issue boiled water notices till the well can be purged with decontaminants and the wells test negative for fecal coliform.  </w:t>
      </w:r>
      <w:r w:rsidR="008A4063">
        <w:rPr>
          <w:rFonts w:ascii="Arial" w:hAnsi="Arial" w:cs="Arial"/>
          <w:i/>
          <w:iCs/>
        </w:rPr>
        <w:t>C</w:t>
      </w:r>
      <w:r w:rsidR="003D400E">
        <w:rPr>
          <w:rFonts w:ascii="Arial" w:hAnsi="Arial" w:cs="Arial"/>
          <w:i/>
          <w:iCs/>
        </w:rPr>
        <w:t xml:space="preserve">hanging the source of the drinking water by upgrading the system and connecting it to the City of Alachua’s water system should improve the public health (EC 1) for the residents of Santa Fe Hills.  Additionally, the infrastructure (EC 5) is deteriorating due to the age of most of the system being over 50 years old and </w:t>
      </w:r>
      <w:r w:rsidR="00626B99">
        <w:rPr>
          <w:rFonts w:ascii="Arial" w:hAnsi="Arial" w:cs="Arial"/>
          <w:i/>
          <w:iCs/>
        </w:rPr>
        <w:t>that much of the original Santa Fe Hills water main was constructed with PVC electrical conduit.  Using PVC electrical conduit for water main construction can pose several significant problems.  For example, the electrical conduit is not designed to be pressurized as it is less flexible than preferred PVC water main material.  Without the flexible PVC plasticizers of a Schedule 40 or C900 water main, an electrical conduit runs a much higher risk of failure.  The fire hydrants are not in compliance with</w:t>
      </w:r>
      <w:r w:rsidR="00EC1C6D">
        <w:rPr>
          <w:rFonts w:ascii="Arial" w:hAnsi="Arial" w:cs="Arial"/>
          <w:i/>
          <w:iCs/>
        </w:rPr>
        <w:t xml:space="preserve"> Alachua County fire code.</w:t>
      </w:r>
      <w:r w:rsidR="00626B99">
        <w:rPr>
          <w:rFonts w:ascii="Arial" w:hAnsi="Arial" w:cs="Arial"/>
          <w:i/>
          <w:iCs/>
        </w:rPr>
        <w:t xml:space="preserve"> </w:t>
      </w:r>
      <w:r w:rsidR="003D400E">
        <w:rPr>
          <w:rFonts w:ascii="Arial" w:hAnsi="Arial" w:cs="Arial"/>
          <w:i/>
          <w:iCs/>
        </w:rPr>
        <w:t>Additionally, since it was built a</w:t>
      </w:r>
      <w:r w:rsidR="008A4063">
        <w:rPr>
          <w:rFonts w:ascii="Arial" w:hAnsi="Arial" w:cs="Arial"/>
          <w:i/>
          <w:iCs/>
        </w:rPr>
        <w:t>s a privately owned facility, the water meters were placed in the back of the properties</w:t>
      </w:r>
      <w:r w:rsidR="00EC1C6D">
        <w:rPr>
          <w:rFonts w:ascii="Arial" w:hAnsi="Arial" w:cs="Arial"/>
          <w:i/>
          <w:iCs/>
        </w:rPr>
        <w:t xml:space="preserve"> which causes access issues for maintenance and meter reading</w:t>
      </w:r>
      <w:r w:rsidR="0055796F" w:rsidRPr="0055796F">
        <w:rPr>
          <w:rFonts w:ascii="Arial" w:hAnsi="Arial" w:cs="Arial"/>
          <w:i/>
          <w:iCs/>
        </w:rPr>
        <w:t>.</w:t>
      </w:r>
    </w:p>
    <w:p w14:paraId="7AF296D8" w14:textId="4791DBC6" w:rsidR="00653207" w:rsidRDefault="00653207" w:rsidP="00653207">
      <w:pPr>
        <w:pStyle w:val="ListParagraph"/>
        <w:tabs>
          <w:tab w:val="left" w:pos="7050"/>
        </w:tabs>
        <w:ind w:left="630"/>
        <w:rPr>
          <w:rFonts w:ascii="Arial" w:hAnsi="Arial" w:cs="Arial"/>
          <w:i/>
          <w:iCs/>
        </w:rPr>
      </w:pPr>
    </w:p>
    <w:p w14:paraId="7ADA8AC7" w14:textId="77777777" w:rsidR="00B90454" w:rsidRPr="00835E26" w:rsidRDefault="00B90454" w:rsidP="000A1EC0">
      <w:pPr>
        <w:tabs>
          <w:tab w:val="left" w:pos="7050"/>
        </w:tabs>
        <w:rPr>
          <w:rFonts w:ascii="Arial" w:hAnsi="Arial" w:cs="Arial"/>
          <w:b/>
        </w:rPr>
      </w:pPr>
      <w:r w:rsidRPr="00285473">
        <w:rPr>
          <w:rFonts w:ascii="Arial" w:hAnsi="Arial" w:cs="Arial"/>
          <w:b/>
        </w:rPr>
        <w:t xml:space="preserve">Promoting equitable outcomes </w:t>
      </w:r>
    </w:p>
    <w:p w14:paraId="35174833" w14:textId="188EE5A2" w:rsidR="006A67B2" w:rsidRPr="006A67B2" w:rsidRDefault="006F1D77" w:rsidP="006F1D77">
      <w:pPr>
        <w:pStyle w:val="ListParagraph"/>
        <w:tabs>
          <w:tab w:val="left" w:pos="7050"/>
        </w:tabs>
        <w:ind w:left="0"/>
        <w:rPr>
          <w:rFonts w:ascii="Arial" w:hAnsi="Arial" w:cs="Arial"/>
        </w:rPr>
      </w:pPr>
      <w:r>
        <w:rPr>
          <w:rFonts w:ascii="Arial" w:hAnsi="Arial" w:cs="Arial"/>
          <w:i/>
          <w:iCs/>
        </w:rPr>
        <w:t xml:space="preserve">This is the only water system that Alachua County oversees the operations for so there was not multiple equity factors in the selection of this project but based upon the fact that most of this subdivision was built in the middle 1960’s and the regular inability of the customers to pay their water bills timely, </w:t>
      </w:r>
      <w:bookmarkStart w:id="0" w:name="_Hlk120090556"/>
      <w:r>
        <w:rPr>
          <w:rFonts w:ascii="Arial" w:hAnsi="Arial" w:cs="Arial"/>
          <w:i/>
          <w:iCs/>
        </w:rPr>
        <w:t>the upgrading of the water system in this subdivision is expected to help the historically underserved, marginalized</w:t>
      </w:r>
      <w:r w:rsidR="00792FCD">
        <w:rPr>
          <w:rFonts w:ascii="Arial" w:hAnsi="Arial" w:cs="Arial"/>
          <w:i/>
          <w:iCs/>
        </w:rPr>
        <w:t>,</w:t>
      </w:r>
      <w:r>
        <w:rPr>
          <w:rFonts w:ascii="Arial" w:hAnsi="Arial" w:cs="Arial"/>
          <w:i/>
          <w:iCs/>
        </w:rPr>
        <w:t xml:space="preserve"> or adversely affect groups of citizens in the neighborhood.  </w:t>
      </w:r>
    </w:p>
    <w:bookmarkEnd w:id="0"/>
    <w:p w14:paraId="6909EBE3" w14:textId="3A988A27" w:rsidR="00040C6C" w:rsidRPr="006122AF" w:rsidRDefault="00040C6C" w:rsidP="006122AF">
      <w:pPr>
        <w:tabs>
          <w:tab w:val="left" w:pos="7050"/>
        </w:tabs>
        <w:rPr>
          <w:rFonts w:ascii="Arial" w:hAnsi="Arial" w:cs="Arial"/>
          <w:b/>
          <w:bCs/>
        </w:rPr>
      </w:pPr>
      <w:r w:rsidRPr="006122AF">
        <w:rPr>
          <w:rFonts w:ascii="Arial" w:hAnsi="Arial" w:cs="Arial"/>
          <w:b/>
          <w:bCs/>
        </w:rPr>
        <w:t xml:space="preserve">Community Engagement </w:t>
      </w:r>
    </w:p>
    <w:p w14:paraId="4070549C" w14:textId="4B332094" w:rsidR="001D0A0C" w:rsidRPr="001D0A0C" w:rsidRDefault="00D26CF7" w:rsidP="001D0A0C">
      <w:pPr>
        <w:tabs>
          <w:tab w:val="left" w:pos="7050"/>
        </w:tabs>
        <w:rPr>
          <w:rFonts w:ascii="Arial" w:hAnsi="Arial" w:cs="Arial"/>
          <w:i/>
          <w:iCs/>
        </w:rPr>
      </w:pPr>
      <w:r>
        <w:rPr>
          <w:rFonts w:ascii="Arial" w:hAnsi="Arial" w:cs="Arial"/>
          <w:i/>
          <w:iCs/>
        </w:rPr>
        <w:t xml:space="preserve">Because this infrastructure project will directly affect the essential delivery of water services and the citizens properties, it is expected that the citizens of this neighborhood will be involved through every step in this process from design, bidding, and construction.  This </w:t>
      </w:r>
      <w:r w:rsidR="006A49E9">
        <w:rPr>
          <w:rFonts w:ascii="Arial" w:hAnsi="Arial" w:cs="Arial"/>
          <w:i/>
          <w:iCs/>
        </w:rPr>
        <w:t xml:space="preserve">engagement </w:t>
      </w:r>
      <w:r>
        <w:rPr>
          <w:rFonts w:ascii="Arial" w:hAnsi="Arial" w:cs="Arial"/>
          <w:i/>
          <w:iCs/>
        </w:rPr>
        <w:t xml:space="preserve">will be done through stakeholder interviews, sharing of project proposals, and </w:t>
      </w:r>
      <w:r w:rsidR="001D0A0C">
        <w:rPr>
          <w:rFonts w:ascii="Arial" w:hAnsi="Arial" w:cs="Arial"/>
          <w:i/>
          <w:iCs/>
        </w:rPr>
        <w:t xml:space="preserve">public notices at the current water plant as well as written notifications with their water bills.  This project is to follow the County’s Equal Opportunity mission and goals </w:t>
      </w:r>
      <w:r w:rsidR="001D0A0C" w:rsidRPr="001D0A0C">
        <w:rPr>
          <w:rFonts w:ascii="Arial" w:hAnsi="Arial" w:cs="Arial"/>
          <w:i/>
          <w:iCs/>
        </w:rPr>
        <w:t>of the program and adhere to a standard of excellence in customer service to employees and citizens. The Office promotes the County's Diversity and Inclusion Standard as follows:</w:t>
      </w:r>
    </w:p>
    <w:p w14:paraId="306AB6CB" w14:textId="77777777" w:rsidR="001D0A0C" w:rsidRPr="001D0A0C" w:rsidRDefault="001D0A0C" w:rsidP="001D0A0C">
      <w:pPr>
        <w:tabs>
          <w:tab w:val="left" w:pos="7050"/>
        </w:tabs>
        <w:rPr>
          <w:rFonts w:ascii="Arial" w:hAnsi="Arial" w:cs="Arial"/>
          <w:i/>
          <w:iCs/>
        </w:rPr>
      </w:pPr>
    </w:p>
    <w:p w14:paraId="7A800C0E" w14:textId="32FE7CCA" w:rsidR="00B732E7" w:rsidRDefault="001D0A0C" w:rsidP="00040C6C">
      <w:pPr>
        <w:tabs>
          <w:tab w:val="left" w:pos="7050"/>
        </w:tabs>
        <w:rPr>
          <w:rFonts w:ascii="Arial" w:hAnsi="Arial" w:cs="Arial"/>
          <w:i/>
          <w:iCs/>
        </w:rPr>
      </w:pPr>
      <w:r w:rsidRPr="001D0A0C">
        <w:rPr>
          <w:rFonts w:ascii="Arial" w:hAnsi="Arial" w:cs="Arial"/>
          <w:i/>
          <w:iCs/>
        </w:rPr>
        <w:t>"Alachua County government embraces diversity and values the unique distinctions among our employees and the people we serve. Our goal is to create an environment that supports a legacy of respect for people and place."</w:t>
      </w:r>
    </w:p>
    <w:p w14:paraId="68062D05" w14:textId="77777777" w:rsidR="001D0A0C" w:rsidRPr="001D0A0C" w:rsidRDefault="001D0A0C" w:rsidP="00040C6C">
      <w:pPr>
        <w:tabs>
          <w:tab w:val="left" w:pos="7050"/>
        </w:tabs>
        <w:rPr>
          <w:rFonts w:ascii="Arial" w:hAnsi="Arial" w:cs="Arial"/>
          <w:i/>
          <w:iCs/>
        </w:rPr>
      </w:pPr>
    </w:p>
    <w:p w14:paraId="1626E847" w14:textId="77777777" w:rsidR="00040C6C" w:rsidRPr="006122AF" w:rsidRDefault="00040C6C" w:rsidP="006122AF">
      <w:pPr>
        <w:tabs>
          <w:tab w:val="left" w:pos="7050"/>
        </w:tabs>
        <w:rPr>
          <w:rFonts w:ascii="Arial" w:hAnsi="Arial" w:cs="Arial"/>
          <w:b/>
          <w:bCs/>
        </w:rPr>
      </w:pPr>
      <w:r w:rsidRPr="006122AF">
        <w:rPr>
          <w:rFonts w:ascii="Arial" w:hAnsi="Arial" w:cs="Arial"/>
          <w:b/>
          <w:bCs/>
        </w:rPr>
        <w:t xml:space="preserve">Labor Practices </w:t>
      </w:r>
    </w:p>
    <w:p w14:paraId="46223E54" w14:textId="5F6FD58C" w:rsidR="00B732E7" w:rsidRPr="00B732E7" w:rsidRDefault="00C31454" w:rsidP="00C31454">
      <w:pPr>
        <w:tabs>
          <w:tab w:val="left" w:pos="7050"/>
        </w:tabs>
        <w:rPr>
          <w:rFonts w:ascii="Arial" w:hAnsi="Arial" w:cs="Arial"/>
        </w:rPr>
      </w:pPr>
      <w:proofErr w:type="spellStart"/>
      <w:r w:rsidRPr="00C31454">
        <w:rPr>
          <w:rFonts w:ascii="Arial" w:hAnsi="Arial" w:cs="Arial"/>
          <w:i/>
          <w:iCs/>
        </w:rPr>
        <w:t>ACBoCC</w:t>
      </w:r>
      <w:proofErr w:type="spellEnd"/>
      <w:r w:rsidRPr="00C31454">
        <w:rPr>
          <w:rFonts w:ascii="Arial" w:hAnsi="Arial" w:cs="Arial"/>
          <w:i/>
          <w:iCs/>
        </w:rPr>
        <w:t xml:space="preserve"> supports quality workforce practices. In 2016, </w:t>
      </w:r>
      <w:proofErr w:type="spellStart"/>
      <w:r w:rsidRPr="00C31454">
        <w:rPr>
          <w:rFonts w:ascii="Arial" w:hAnsi="Arial" w:cs="Arial"/>
          <w:i/>
          <w:iCs/>
        </w:rPr>
        <w:t>ACBoCC</w:t>
      </w:r>
      <w:proofErr w:type="spellEnd"/>
      <w:r w:rsidRPr="00C31454">
        <w:rPr>
          <w:rFonts w:ascii="Arial" w:hAnsi="Arial" w:cs="Arial"/>
          <w:i/>
          <w:iCs/>
        </w:rPr>
        <w:t xml:space="preserve"> Established by Ordinance #16-15 of the</w:t>
      </w:r>
      <w:r>
        <w:rPr>
          <w:rFonts w:ascii="Arial" w:hAnsi="Arial" w:cs="Arial"/>
          <w:i/>
          <w:iCs/>
        </w:rPr>
        <w:t xml:space="preserve"> </w:t>
      </w:r>
      <w:r w:rsidRPr="00C31454">
        <w:rPr>
          <w:rFonts w:ascii="Arial" w:hAnsi="Arial" w:cs="Arial"/>
          <w:i/>
          <w:iCs/>
        </w:rPr>
        <w:t>County’s Purchasing Code the Alachua County Government Minimum Wage (GMW) requirement for</w:t>
      </w:r>
      <w:r>
        <w:rPr>
          <w:rFonts w:ascii="Arial" w:hAnsi="Arial" w:cs="Arial"/>
          <w:i/>
          <w:iCs/>
        </w:rPr>
        <w:t xml:space="preserve"> </w:t>
      </w:r>
      <w:r w:rsidRPr="00C31454">
        <w:rPr>
          <w:rFonts w:ascii="Arial" w:hAnsi="Arial" w:cs="Arial"/>
          <w:i/>
          <w:iCs/>
        </w:rPr>
        <w:t>certain contractors and subcontractors providing selected services to Alachua County Government.67 A</w:t>
      </w:r>
      <w:r>
        <w:rPr>
          <w:rFonts w:ascii="Arial" w:hAnsi="Arial" w:cs="Arial"/>
          <w:i/>
          <w:iCs/>
        </w:rPr>
        <w:t xml:space="preserve"> </w:t>
      </w:r>
      <w:r w:rsidRPr="00C31454">
        <w:rPr>
          <w:rFonts w:ascii="Arial" w:hAnsi="Arial" w:cs="Arial"/>
          <w:i/>
          <w:iCs/>
        </w:rPr>
        <w:t>contractor or subcontractor providing a covered service to the County shall pay to all of its covered</w:t>
      </w:r>
      <w:r>
        <w:rPr>
          <w:rFonts w:ascii="Arial" w:hAnsi="Arial" w:cs="Arial"/>
          <w:i/>
          <w:iCs/>
        </w:rPr>
        <w:t xml:space="preserve"> </w:t>
      </w:r>
      <w:r w:rsidRPr="00C31454">
        <w:rPr>
          <w:rFonts w:ascii="Arial" w:hAnsi="Arial" w:cs="Arial"/>
          <w:i/>
          <w:iCs/>
        </w:rPr>
        <w:t>employees the established GMW. For fiscal year 2022, the GMW is $16 per hour with qualifying health</w:t>
      </w:r>
      <w:r>
        <w:rPr>
          <w:rFonts w:ascii="Arial" w:hAnsi="Arial" w:cs="Arial"/>
          <w:i/>
          <w:iCs/>
        </w:rPr>
        <w:t xml:space="preserve"> </w:t>
      </w:r>
      <w:r w:rsidRPr="00C31454">
        <w:rPr>
          <w:rFonts w:ascii="Arial" w:hAnsi="Arial" w:cs="Arial"/>
          <w:i/>
          <w:iCs/>
        </w:rPr>
        <w:t>benefits amounting to at least $2 per hour. For contractors not offering health benefits, the GMW is</w:t>
      </w:r>
      <w:r>
        <w:rPr>
          <w:rFonts w:ascii="Arial" w:hAnsi="Arial" w:cs="Arial"/>
          <w:i/>
          <w:iCs/>
        </w:rPr>
        <w:t xml:space="preserve"> </w:t>
      </w:r>
      <w:r w:rsidRPr="00C31454">
        <w:rPr>
          <w:rFonts w:ascii="Arial" w:hAnsi="Arial" w:cs="Arial"/>
          <w:i/>
          <w:iCs/>
        </w:rPr>
        <w:t>$18 per hour.</w:t>
      </w:r>
      <w:r>
        <w:rPr>
          <w:rFonts w:ascii="Arial" w:hAnsi="Arial" w:cs="Arial"/>
          <w:i/>
          <w:iCs/>
        </w:rPr>
        <w:t xml:space="preserve">  </w:t>
      </w:r>
    </w:p>
    <w:p w14:paraId="365A9C50" w14:textId="77777777" w:rsidR="006122AF" w:rsidRDefault="00040C6C" w:rsidP="006122AF">
      <w:pPr>
        <w:tabs>
          <w:tab w:val="left" w:pos="7050"/>
        </w:tabs>
        <w:rPr>
          <w:rFonts w:ascii="Arial" w:hAnsi="Arial" w:cs="Arial"/>
          <w:b/>
          <w:bCs/>
        </w:rPr>
      </w:pPr>
      <w:r w:rsidRPr="006122AF">
        <w:rPr>
          <w:rFonts w:ascii="Arial" w:hAnsi="Arial" w:cs="Arial"/>
          <w:b/>
          <w:bCs/>
        </w:rPr>
        <w:t xml:space="preserve">Use of Evidence </w:t>
      </w:r>
    </w:p>
    <w:p w14:paraId="409BB775" w14:textId="3CC62AF8" w:rsidR="00D41D6C" w:rsidRDefault="00227C97" w:rsidP="00277340">
      <w:pPr>
        <w:tabs>
          <w:tab w:val="left" w:pos="7050"/>
        </w:tabs>
        <w:rPr>
          <w:rFonts w:ascii="Arial" w:hAnsi="Arial" w:cs="Arial"/>
          <w:i/>
          <w:iCs/>
        </w:rPr>
      </w:pPr>
      <w:bookmarkStart w:id="1" w:name="_Hlk120090764"/>
      <w:r>
        <w:rPr>
          <w:rFonts w:ascii="Arial" w:hAnsi="Arial" w:cs="Arial"/>
          <w:i/>
          <w:iCs/>
        </w:rPr>
        <w:t>Since this project is an upgrade of existing infrastructure to improve public health by upgrading an aging water system, there will be no evidence-based interventions and or program evaluations other than the progress of the construction project.</w:t>
      </w:r>
    </w:p>
    <w:bookmarkEnd w:id="1"/>
    <w:p w14:paraId="13B7AAEF" w14:textId="62B966C6" w:rsidR="00F22895" w:rsidRDefault="00F22895" w:rsidP="00277340">
      <w:pPr>
        <w:tabs>
          <w:tab w:val="left" w:pos="7050"/>
        </w:tabs>
        <w:rPr>
          <w:rFonts w:ascii="Arial" w:hAnsi="Arial" w:cs="Arial"/>
          <w:b/>
          <w:bCs/>
        </w:rPr>
      </w:pPr>
      <w:r>
        <w:rPr>
          <w:rFonts w:ascii="Arial" w:hAnsi="Arial" w:cs="Arial"/>
          <w:b/>
          <w:bCs/>
        </w:rPr>
        <w:t>Performance Report</w:t>
      </w:r>
    </w:p>
    <w:p w14:paraId="17E52EDA" w14:textId="144DAB5F" w:rsidR="00D41D6C" w:rsidRPr="00F22895" w:rsidRDefault="00227C97" w:rsidP="005A3F2A">
      <w:pPr>
        <w:tabs>
          <w:tab w:val="left" w:pos="7050"/>
        </w:tabs>
        <w:rPr>
          <w:rFonts w:ascii="Arial" w:hAnsi="Arial" w:cs="Arial"/>
          <w:i/>
          <w:iCs/>
        </w:rPr>
      </w:pPr>
      <w:bookmarkStart w:id="2" w:name="_Hlk120090872"/>
      <w:r>
        <w:rPr>
          <w:rFonts w:ascii="Arial" w:hAnsi="Arial" w:cs="Arial"/>
          <w:i/>
          <w:iCs/>
        </w:rPr>
        <w:t xml:space="preserve">The performance of this project will be tracked through milestones </w:t>
      </w:r>
      <w:r w:rsidR="005A3F2A">
        <w:rPr>
          <w:rFonts w:ascii="Arial" w:hAnsi="Arial" w:cs="Arial"/>
          <w:i/>
          <w:iCs/>
        </w:rPr>
        <w:t>during the design, bid and construction phases of the project.  The milestones for the design phase are 30%, 60% and 90% designed.  The milestones for bidding are ready for bid, out to bid, and bid/contract awarded.  Construction is tracked as a percentage of project complete till attaining substantial completion and final completion.</w:t>
      </w:r>
      <w:r w:rsidR="00D41D6C">
        <w:rPr>
          <w:rFonts w:ascii="Arial" w:hAnsi="Arial" w:cs="Arial"/>
          <w:i/>
          <w:iCs/>
        </w:rPr>
        <w:t xml:space="preserve"> </w:t>
      </w:r>
    </w:p>
    <w:bookmarkEnd w:id="2"/>
    <w:p w14:paraId="2B598C5C" w14:textId="256A70CD" w:rsidR="00953E65" w:rsidRPr="00807051" w:rsidRDefault="00953E65" w:rsidP="00807051">
      <w:pPr>
        <w:rPr>
          <w:rFonts w:ascii="Arial" w:hAnsi="Arial" w:cs="Arial"/>
          <w:b/>
          <w:bCs/>
          <w:color w:val="44546A" w:themeColor="text2"/>
          <w:u w:val="single"/>
        </w:rPr>
      </w:pPr>
    </w:p>
    <w:p w14:paraId="4F46A42E" w14:textId="787605B1" w:rsidR="00195853" w:rsidRPr="00807051" w:rsidRDefault="0068053D" w:rsidP="00807051">
      <w:pPr>
        <w:rPr>
          <w:rFonts w:ascii="Arial" w:hAnsi="Arial" w:cs="Arial"/>
          <w:b/>
          <w:bCs/>
          <w:color w:val="44546A" w:themeColor="text2"/>
          <w:u w:val="single"/>
        </w:rPr>
      </w:pPr>
      <w:r w:rsidRPr="00807051">
        <w:rPr>
          <w:rFonts w:ascii="Arial" w:hAnsi="Arial" w:cs="Arial"/>
          <w:b/>
          <w:bCs/>
          <w:color w:val="44546A" w:themeColor="text2"/>
          <w:u w:val="single"/>
        </w:rPr>
        <w:t>P</w:t>
      </w:r>
      <w:r w:rsidR="00807051">
        <w:rPr>
          <w:rFonts w:ascii="Arial" w:hAnsi="Arial" w:cs="Arial"/>
          <w:b/>
          <w:bCs/>
          <w:color w:val="44546A" w:themeColor="text2"/>
          <w:u w:val="single"/>
        </w:rPr>
        <w:t>ROJECT INVENTORY</w:t>
      </w:r>
      <w:r w:rsidR="001E2186" w:rsidRPr="00807051">
        <w:rPr>
          <w:rFonts w:ascii="Arial" w:hAnsi="Arial" w:cs="Arial"/>
          <w:b/>
          <w:bCs/>
          <w:color w:val="44546A" w:themeColor="text2"/>
          <w:u w:val="single"/>
        </w:rPr>
        <w:t xml:space="preserve"> </w:t>
      </w:r>
    </w:p>
    <w:p w14:paraId="1991C5B5" w14:textId="0A3A8CBC" w:rsidR="00F43E2F" w:rsidRDefault="00964045" w:rsidP="000A1EC0">
      <w:pPr>
        <w:pStyle w:val="ListParagraph"/>
        <w:tabs>
          <w:tab w:val="left" w:pos="7050"/>
        </w:tabs>
        <w:ind w:left="0"/>
        <w:rPr>
          <w:rFonts w:ascii="Arial" w:hAnsi="Arial" w:cs="Arial"/>
          <w:i/>
          <w:iCs/>
        </w:rPr>
      </w:pPr>
      <w:r>
        <w:rPr>
          <w:rFonts w:ascii="Arial" w:hAnsi="Arial" w:cs="Arial"/>
          <w:i/>
          <w:iCs/>
        </w:rPr>
        <w:t>In t</w:t>
      </w:r>
      <w:r w:rsidR="00363C09">
        <w:rPr>
          <w:rFonts w:ascii="Arial" w:hAnsi="Arial" w:cs="Arial"/>
          <w:i/>
          <w:iCs/>
        </w:rPr>
        <w:t>his section</w:t>
      </w:r>
      <w:r>
        <w:rPr>
          <w:rFonts w:ascii="Arial" w:hAnsi="Arial" w:cs="Arial"/>
          <w:i/>
          <w:iCs/>
        </w:rPr>
        <w:t>, jurisdictions</w:t>
      </w:r>
      <w:r w:rsidR="00363C09">
        <w:rPr>
          <w:rFonts w:ascii="Arial" w:hAnsi="Arial" w:cs="Arial"/>
          <w:i/>
          <w:iCs/>
        </w:rPr>
        <w:t xml:space="preserve"> should provide a description of each project undertaken</w:t>
      </w:r>
      <w:r w:rsidR="0068053D">
        <w:rPr>
          <w:rFonts w:ascii="Arial" w:hAnsi="Arial" w:cs="Arial"/>
          <w:i/>
          <w:iCs/>
        </w:rPr>
        <w:t>.</w:t>
      </w:r>
      <w:r w:rsidR="00AB6F7E">
        <w:rPr>
          <w:rFonts w:ascii="Arial" w:hAnsi="Arial" w:cs="Arial"/>
          <w:i/>
          <w:iCs/>
        </w:rPr>
        <w:t xml:space="preserve"> </w:t>
      </w:r>
      <w:r w:rsidR="00AB6F7E" w:rsidRPr="000A1EC0">
        <w:rPr>
          <w:rFonts w:ascii="Arial" w:hAnsi="Arial" w:cs="Arial"/>
          <w:i/>
          <w:iCs/>
        </w:rPr>
        <w:t xml:space="preserve"> See Section C(8) on page </w:t>
      </w:r>
      <w:r w:rsidR="00551EB0">
        <w:rPr>
          <w:rFonts w:ascii="Arial" w:hAnsi="Arial" w:cs="Arial"/>
          <w:i/>
          <w:iCs/>
        </w:rPr>
        <w:t>3</w:t>
      </w:r>
      <w:r w:rsidR="00E87F22">
        <w:rPr>
          <w:rFonts w:ascii="Arial" w:hAnsi="Arial" w:cs="Arial"/>
          <w:i/>
          <w:iCs/>
        </w:rPr>
        <w:t>9</w:t>
      </w:r>
      <w:r w:rsidR="00551EB0">
        <w:rPr>
          <w:rFonts w:ascii="Arial" w:hAnsi="Arial" w:cs="Arial"/>
          <w:i/>
          <w:iCs/>
        </w:rPr>
        <w:t xml:space="preserve"> and </w:t>
      </w:r>
      <w:r w:rsidR="00E87F22">
        <w:rPr>
          <w:rFonts w:ascii="Arial" w:hAnsi="Arial" w:cs="Arial"/>
          <w:i/>
          <w:iCs/>
        </w:rPr>
        <w:t>40</w:t>
      </w:r>
      <w:r w:rsidR="00AB6F7E" w:rsidRPr="000A1EC0">
        <w:rPr>
          <w:rFonts w:ascii="Arial" w:hAnsi="Arial" w:cs="Arial"/>
          <w:i/>
          <w:iCs/>
        </w:rPr>
        <w:t xml:space="preserve"> of the Reporting Guidance for additional information.  </w:t>
      </w:r>
      <w:r w:rsidR="005413F3" w:rsidRPr="000A1EC0">
        <w:rPr>
          <w:rFonts w:ascii="Arial" w:hAnsi="Arial" w:cs="Arial"/>
          <w:i/>
          <w:iCs/>
        </w:rPr>
        <w:t>Below is an example of how to present the information noted in the Reporting Guidance</w:t>
      </w:r>
      <w:r w:rsidR="00845AA1">
        <w:rPr>
          <w:rFonts w:ascii="Arial" w:hAnsi="Arial" w:cs="Arial"/>
          <w:i/>
          <w:iCs/>
        </w:rPr>
        <w:t>, which incorporates project details as well as evidence and performance measure information outlined in the relevant sections above</w:t>
      </w:r>
      <w:r w:rsidR="00953E65">
        <w:rPr>
          <w:rFonts w:ascii="Arial" w:hAnsi="Arial" w:cs="Arial"/>
          <w:i/>
          <w:iCs/>
        </w:rPr>
        <w:t>.  This information should be replicated for all of the jurisdiction’s projects.</w:t>
      </w:r>
      <w:r w:rsidR="00363C09" w:rsidRPr="000A1EC0">
        <w:rPr>
          <w:rFonts w:ascii="Arial" w:hAnsi="Arial" w:cs="Arial"/>
          <w:i/>
          <w:iCs/>
        </w:rPr>
        <w:t xml:space="preserve"> </w:t>
      </w:r>
    </w:p>
    <w:p w14:paraId="70703772" w14:textId="77777777" w:rsidR="00807051" w:rsidRPr="00807051" w:rsidRDefault="00807051" w:rsidP="00807051">
      <w:pPr>
        <w:tabs>
          <w:tab w:val="left" w:pos="7050"/>
        </w:tabs>
        <w:rPr>
          <w:rFonts w:ascii="Arial" w:hAnsi="Arial" w:cs="Arial"/>
          <w:i/>
          <w:iCs/>
        </w:rPr>
      </w:pPr>
      <w:r w:rsidRPr="00807051">
        <w:rPr>
          <w:rFonts w:ascii="Arial" w:hAnsi="Arial" w:cs="Arial"/>
          <w:i/>
          <w:iCs/>
        </w:rPr>
        <w:t>Recipients have flexibility in the presentation and format of their Project Inventory, provided it includes the minimum required information. Recipients have the option of downloading a spreadsheet of the information entered into their Project and Expenditure Report to assist them in creating the Project Inventory in their Recovery Plan. However, recipients must ensure that their Project Inventory contains the additional information required by this guidance, including but not limited to information about performance measures and evidence/evaluation for each project. In all cases, recipients must post publicly (and submit to Treasury) a single PDF file of their Recovery Plan, which includes the Project Inventory.</w:t>
      </w:r>
    </w:p>
    <w:p w14:paraId="0A1C081F" w14:textId="77777777" w:rsidR="00807051" w:rsidRPr="000A1EC0" w:rsidRDefault="00807051" w:rsidP="000A1EC0">
      <w:pPr>
        <w:pStyle w:val="ListParagraph"/>
        <w:tabs>
          <w:tab w:val="left" w:pos="7050"/>
        </w:tabs>
        <w:ind w:left="0"/>
        <w:rPr>
          <w:rFonts w:ascii="Arial" w:hAnsi="Arial" w:cs="Arial"/>
          <w:i/>
          <w:iCs/>
        </w:rPr>
      </w:pPr>
    </w:p>
    <w:p w14:paraId="711C655C" w14:textId="389BF287" w:rsidR="001C5399" w:rsidRPr="001C5399" w:rsidRDefault="001C5399" w:rsidP="00BC7538">
      <w:pPr>
        <w:pStyle w:val="ListParagraph"/>
        <w:tabs>
          <w:tab w:val="left" w:pos="7050"/>
        </w:tabs>
        <w:ind w:left="360"/>
        <w:rPr>
          <w:rFonts w:ascii="Arial" w:hAnsi="Arial" w:cs="Arial"/>
          <w:b/>
          <w:bCs/>
        </w:rPr>
      </w:pPr>
      <w:r>
        <w:rPr>
          <w:rFonts w:ascii="Arial" w:hAnsi="Arial" w:cs="Arial"/>
          <w:b/>
          <w:bCs/>
        </w:rPr>
        <w:t xml:space="preserve">Project </w:t>
      </w:r>
    </w:p>
    <w:p w14:paraId="520216D7" w14:textId="159C500A" w:rsidR="00363C09" w:rsidRDefault="00363C09" w:rsidP="00BC7538">
      <w:pPr>
        <w:pStyle w:val="ListParagraph"/>
        <w:tabs>
          <w:tab w:val="left" w:pos="7050"/>
        </w:tabs>
        <w:ind w:left="360"/>
        <w:rPr>
          <w:rFonts w:ascii="Arial" w:hAnsi="Arial" w:cs="Arial"/>
        </w:rPr>
      </w:pPr>
      <w:bookmarkStart w:id="3" w:name="_Hlk77838744"/>
      <w:bookmarkStart w:id="4" w:name="_Hlk77695112"/>
      <w:r w:rsidRPr="00661917">
        <w:rPr>
          <w:rFonts w:ascii="Arial" w:hAnsi="Arial" w:cs="Arial"/>
          <w:u w:val="single"/>
        </w:rPr>
        <w:t>Project</w:t>
      </w:r>
      <w:r w:rsidRPr="00661917">
        <w:rPr>
          <w:rFonts w:ascii="Arial" w:hAnsi="Arial" w:cs="Arial"/>
        </w:rPr>
        <w:t xml:space="preserve">: </w:t>
      </w:r>
      <w:r w:rsidR="005A3F2A">
        <w:rPr>
          <w:rFonts w:ascii="Arial" w:hAnsi="Arial" w:cs="Arial"/>
        </w:rPr>
        <w:t>Santa Fe Hills Water System</w:t>
      </w:r>
    </w:p>
    <w:p w14:paraId="28B73A0B" w14:textId="5AACBD97" w:rsidR="005A3F2A" w:rsidRPr="005A3F2A" w:rsidRDefault="005A3F2A" w:rsidP="00BC7538">
      <w:pPr>
        <w:pStyle w:val="ListParagraph"/>
        <w:tabs>
          <w:tab w:val="left" w:pos="7050"/>
        </w:tabs>
        <w:ind w:left="360"/>
        <w:rPr>
          <w:rFonts w:ascii="Arial" w:hAnsi="Arial" w:cs="Arial"/>
        </w:rPr>
      </w:pPr>
      <w:r>
        <w:rPr>
          <w:rFonts w:ascii="Arial" w:hAnsi="Arial" w:cs="Arial"/>
          <w:u w:val="single"/>
        </w:rPr>
        <w:t>Identification Number:</w:t>
      </w:r>
      <w:r>
        <w:rPr>
          <w:rFonts w:ascii="Arial" w:hAnsi="Arial" w:cs="Arial"/>
        </w:rPr>
        <w:t xml:space="preserve">  TBD</w:t>
      </w:r>
    </w:p>
    <w:p w14:paraId="2E13B91C" w14:textId="09475B34" w:rsidR="00363C09" w:rsidRDefault="00363C09" w:rsidP="00BC7538">
      <w:pPr>
        <w:pStyle w:val="ListParagraph"/>
        <w:tabs>
          <w:tab w:val="left" w:pos="7050"/>
        </w:tabs>
        <w:ind w:left="360"/>
        <w:rPr>
          <w:rFonts w:ascii="Arial" w:hAnsi="Arial" w:cs="Arial"/>
          <w:u w:val="single"/>
        </w:rPr>
      </w:pPr>
      <w:r>
        <w:rPr>
          <w:rFonts w:ascii="Arial" w:hAnsi="Arial" w:cs="Arial"/>
          <w:u w:val="single"/>
        </w:rPr>
        <w:t>Funding amount</w:t>
      </w:r>
      <w:r w:rsidRPr="00661917">
        <w:rPr>
          <w:rFonts w:ascii="Arial" w:hAnsi="Arial" w:cs="Arial"/>
        </w:rPr>
        <w:t xml:space="preserve">: </w:t>
      </w:r>
      <w:r w:rsidR="00792FCD">
        <w:rPr>
          <w:rFonts w:ascii="Arial" w:hAnsi="Arial" w:cs="Arial"/>
        </w:rPr>
        <w:t>$1,250,000</w:t>
      </w:r>
    </w:p>
    <w:p w14:paraId="1FB13828" w14:textId="569891F7" w:rsidR="00F84074" w:rsidRDefault="00F84074" w:rsidP="00BC7538">
      <w:pPr>
        <w:pStyle w:val="ListParagraph"/>
        <w:tabs>
          <w:tab w:val="left" w:pos="7050"/>
        </w:tabs>
        <w:ind w:left="360"/>
        <w:rPr>
          <w:rFonts w:ascii="Arial" w:hAnsi="Arial" w:cs="Arial"/>
          <w:u w:val="single"/>
        </w:rPr>
      </w:pPr>
      <w:r>
        <w:rPr>
          <w:rFonts w:ascii="Arial" w:hAnsi="Arial" w:cs="Arial"/>
          <w:u w:val="single"/>
        </w:rPr>
        <w:t>Project Expenditure Category</w:t>
      </w:r>
      <w:r w:rsidRPr="00661917">
        <w:rPr>
          <w:rFonts w:ascii="Arial" w:hAnsi="Arial" w:cs="Arial"/>
        </w:rPr>
        <w:t xml:space="preserve">: </w:t>
      </w:r>
      <w:r w:rsidR="00792FCD" w:rsidRPr="00792FCD">
        <w:rPr>
          <w:rFonts w:ascii="Arial" w:hAnsi="Arial" w:cs="Arial"/>
        </w:rPr>
        <w:t>Public Health (EC 1)</w:t>
      </w:r>
      <w:r w:rsidR="00792FCD">
        <w:rPr>
          <w:rFonts w:ascii="Arial" w:hAnsi="Arial" w:cs="Arial"/>
        </w:rPr>
        <w:t xml:space="preserve">, </w:t>
      </w:r>
      <w:r w:rsidR="00792FCD" w:rsidRPr="00792FCD">
        <w:rPr>
          <w:rFonts w:ascii="Arial" w:hAnsi="Arial" w:cs="Arial"/>
        </w:rPr>
        <w:t>Water, sewer, and broadband infrastructure (EC 5)</w:t>
      </w:r>
    </w:p>
    <w:bookmarkEnd w:id="3"/>
    <w:p w14:paraId="14803338" w14:textId="77777777" w:rsidR="00F84074" w:rsidRPr="00661917" w:rsidRDefault="00F84074" w:rsidP="00BC7538">
      <w:pPr>
        <w:pStyle w:val="ListParagraph"/>
        <w:tabs>
          <w:tab w:val="left" w:pos="7050"/>
        </w:tabs>
        <w:ind w:left="360"/>
        <w:rPr>
          <w:rFonts w:ascii="Arial" w:hAnsi="Arial" w:cs="Arial"/>
          <w:u w:val="single"/>
        </w:rPr>
      </w:pPr>
    </w:p>
    <w:bookmarkEnd w:id="4"/>
    <w:p w14:paraId="17801649" w14:textId="2124632F" w:rsidR="00157236" w:rsidRPr="000A1EC0" w:rsidRDefault="00AB6F7E">
      <w:pPr>
        <w:pStyle w:val="ListParagraph"/>
        <w:tabs>
          <w:tab w:val="left" w:pos="7050"/>
        </w:tabs>
        <w:ind w:left="360"/>
        <w:rPr>
          <w:u w:val="single"/>
        </w:rPr>
      </w:pPr>
      <w:r w:rsidRPr="000A1EC0">
        <w:rPr>
          <w:rFonts w:ascii="Arial" w:hAnsi="Arial" w:cs="Arial"/>
          <w:i/>
          <w:iCs/>
          <w:u w:val="single"/>
        </w:rPr>
        <w:t xml:space="preserve">Project </w:t>
      </w:r>
      <w:r w:rsidR="0024496A">
        <w:rPr>
          <w:rFonts w:ascii="Arial" w:hAnsi="Arial" w:cs="Arial"/>
          <w:i/>
          <w:iCs/>
          <w:u w:val="single"/>
        </w:rPr>
        <w:t>O</w:t>
      </w:r>
      <w:r w:rsidRPr="000A1EC0">
        <w:rPr>
          <w:rFonts w:ascii="Arial" w:hAnsi="Arial" w:cs="Arial"/>
          <w:i/>
          <w:iCs/>
          <w:u w:val="single"/>
        </w:rPr>
        <w:t>verview</w:t>
      </w:r>
    </w:p>
    <w:p w14:paraId="42E44549" w14:textId="22F0783E" w:rsidR="00792FCD" w:rsidRPr="00792FCD" w:rsidRDefault="00792FCD" w:rsidP="00792FCD">
      <w:pPr>
        <w:pStyle w:val="ListParagraph"/>
        <w:numPr>
          <w:ilvl w:val="0"/>
          <w:numId w:val="30"/>
        </w:numPr>
        <w:rPr>
          <w:rStyle w:val="fontstyle01"/>
          <w:i/>
          <w:iCs/>
          <w:sz w:val="22"/>
          <w:szCs w:val="22"/>
        </w:rPr>
      </w:pPr>
      <w:r w:rsidRPr="00792FCD">
        <w:rPr>
          <w:rStyle w:val="fontstyle01"/>
          <w:i/>
          <w:iCs/>
          <w:sz w:val="22"/>
          <w:szCs w:val="22"/>
        </w:rPr>
        <w:t>A completely upgraded water supply system within the Santa Fe Hills</w:t>
      </w:r>
      <w:r w:rsidRPr="00792FCD">
        <w:rPr>
          <w:rFonts w:ascii="Arial" w:hAnsi="Arial" w:cs="Arial"/>
          <w:i/>
          <w:iCs/>
          <w:color w:val="000000"/>
        </w:rPr>
        <w:br/>
      </w:r>
      <w:r w:rsidRPr="00792FCD">
        <w:rPr>
          <w:rStyle w:val="fontstyle01"/>
          <w:i/>
          <w:iCs/>
          <w:sz w:val="22"/>
          <w:szCs w:val="22"/>
        </w:rPr>
        <w:t>subdivision, complete with new water mains, meters, and services along</w:t>
      </w:r>
      <w:r w:rsidRPr="00792FCD">
        <w:rPr>
          <w:rFonts w:ascii="Arial" w:hAnsi="Arial" w:cs="Arial"/>
          <w:i/>
          <w:iCs/>
          <w:color w:val="000000"/>
        </w:rPr>
        <w:br/>
      </w:r>
      <w:r w:rsidRPr="00792FCD">
        <w:rPr>
          <w:rStyle w:val="fontstyle01"/>
          <w:i/>
          <w:iCs/>
          <w:sz w:val="22"/>
          <w:szCs w:val="22"/>
        </w:rPr>
        <w:t>residential frontages, to consider turning over the entire</w:t>
      </w:r>
      <w:r w:rsidRPr="00792FCD">
        <w:rPr>
          <w:rFonts w:ascii="Arial" w:hAnsi="Arial" w:cs="Arial"/>
          <w:i/>
          <w:iCs/>
          <w:color w:val="000000"/>
        </w:rPr>
        <w:br/>
      </w:r>
      <w:r w:rsidRPr="00792FCD">
        <w:rPr>
          <w:rStyle w:val="fontstyle01"/>
          <w:i/>
          <w:iCs/>
          <w:sz w:val="22"/>
          <w:szCs w:val="22"/>
        </w:rPr>
        <w:t>system to the City of Alachua.</w:t>
      </w:r>
    </w:p>
    <w:p w14:paraId="3CB3B0CB" w14:textId="42DC4D51" w:rsidR="00792FCD" w:rsidRDefault="00792FCD" w:rsidP="00B87FD9">
      <w:pPr>
        <w:pStyle w:val="ListParagraph"/>
        <w:numPr>
          <w:ilvl w:val="0"/>
          <w:numId w:val="30"/>
        </w:numPr>
        <w:tabs>
          <w:tab w:val="left" w:pos="7050"/>
        </w:tabs>
        <w:rPr>
          <w:rFonts w:ascii="Arial" w:hAnsi="Arial" w:cs="Arial"/>
          <w:i/>
          <w:iCs/>
        </w:rPr>
      </w:pPr>
      <w:r>
        <w:rPr>
          <w:rFonts w:ascii="Arial" w:hAnsi="Arial" w:cs="Arial"/>
          <w:i/>
          <w:iCs/>
        </w:rPr>
        <w:t>T</w:t>
      </w:r>
      <w:r w:rsidRPr="00792FCD">
        <w:rPr>
          <w:rFonts w:ascii="Arial" w:hAnsi="Arial" w:cs="Arial"/>
          <w:i/>
          <w:iCs/>
        </w:rPr>
        <w:t>he upgrading of the water system in this subdivision is expected to help the historically underserved, marginalized</w:t>
      </w:r>
      <w:r>
        <w:rPr>
          <w:rFonts w:ascii="Arial" w:hAnsi="Arial" w:cs="Arial"/>
          <w:i/>
          <w:iCs/>
        </w:rPr>
        <w:t>,</w:t>
      </w:r>
      <w:r w:rsidRPr="00792FCD">
        <w:rPr>
          <w:rFonts w:ascii="Arial" w:hAnsi="Arial" w:cs="Arial"/>
          <w:i/>
          <w:iCs/>
        </w:rPr>
        <w:t xml:space="preserve"> or adversely affect groups of citizens in the neighborhood.  </w:t>
      </w:r>
    </w:p>
    <w:p w14:paraId="26055615" w14:textId="053F9570" w:rsidR="00AB6F7E" w:rsidRPr="000A1EC0" w:rsidRDefault="00AB6F7E" w:rsidP="000A1EC0">
      <w:pPr>
        <w:tabs>
          <w:tab w:val="left" w:pos="7050"/>
        </w:tabs>
        <w:spacing w:after="0" w:line="240" w:lineRule="auto"/>
        <w:ind w:left="360"/>
        <w:rPr>
          <w:rFonts w:ascii="Arial" w:hAnsi="Arial" w:cs="Arial"/>
          <w:i/>
          <w:iCs/>
          <w:u w:val="single"/>
        </w:rPr>
      </w:pPr>
      <w:r w:rsidRPr="000A1EC0">
        <w:rPr>
          <w:rFonts w:ascii="Arial" w:hAnsi="Arial" w:cs="Arial"/>
          <w:i/>
          <w:iCs/>
          <w:u w:val="single"/>
        </w:rPr>
        <w:t>Use of Evidence</w:t>
      </w:r>
    </w:p>
    <w:p w14:paraId="5F433182" w14:textId="653D5A07" w:rsidR="00BE6CB7" w:rsidRPr="00D41D6C" w:rsidRDefault="000407E7" w:rsidP="00D41D6C">
      <w:pPr>
        <w:pStyle w:val="ListParagraph"/>
        <w:numPr>
          <w:ilvl w:val="0"/>
          <w:numId w:val="30"/>
        </w:numPr>
        <w:tabs>
          <w:tab w:val="left" w:pos="7050"/>
        </w:tabs>
        <w:rPr>
          <w:rFonts w:ascii="Arial" w:hAnsi="Arial" w:cs="Arial"/>
          <w:i/>
          <w:iCs/>
        </w:rPr>
      </w:pPr>
      <w:r w:rsidRPr="000407E7">
        <w:rPr>
          <w:rFonts w:ascii="Arial" w:hAnsi="Arial" w:cs="Arial"/>
          <w:i/>
          <w:iCs/>
        </w:rPr>
        <w:t>Since this project is an upgrade of existing infrastructure to improve public health by upgrading an aging water system, there will be no evidence-based interventions and or program evaluations other than the progress of the construction project.</w:t>
      </w:r>
    </w:p>
    <w:p w14:paraId="38190A58" w14:textId="22DC814A" w:rsidR="00AB6F7E" w:rsidRPr="00D41D6C" w:rsidRDefault="00AB6F7E" w:rsidP="00D41D6C">
      <w:pPr>
        <w:tabs>
          <w:tab w:val="left" w:pos="7050"/>
        </w:tabs>
        <w:spacing w:after="0" w:line="240" w:lineRule="auto"/>
        <w:ind w:left="360"/>
        <w:rPr>
          <w:rFonts w:ascii="Arial" w:hAnsi="Arial" w:cs="Arial"/>
          <w:i/>
          <w:iCs/>
          <w:u w:val="single"/>
        </w:rPr>
      </w:pPr>
      <w:r w:rsidRPr="00D41D6C">
        <w:rPr>
          <w:rFonts w:ascii="Arial" w:hAnsi="Arial" w:cs="Arial"/>
          <w:i/>
          <w:iCs/>
          <w:u w:val="single"/>
        </w:rPr>
        <w:t>Performance Report</w:t>
      </w:r>
    </w:p>
    <w:p w14:paraId="1095CA83" w14:textId="691CEB2A" w:rsidR="00CF72E1" w:rsidRDefault="000407E7" w:rsidP="000407E7">
      <w:pPr>
        <w:pStyle w:val="ListParagraph"/>
        <w:numPr>
          <w:ilvl w:val="0"/>
          <w:numId w:val="40"/>
        </w:numPr>
        <w:tabs>
          <w:tab w:val="left" w:pos="7050"/>
        </w:tabs>
        <w:ind w:left="720"/>
        <w:rPr>
          <w:rFonts w:ascii="Arial" w:hAnsi="Arial" w:cs="Arial"/>
          <w:i/>
          <w:iCs/>
        </w:rPr>
      </w:pPr>
      <w:r w:rsidRPr="000407E7">
        <w:rPr>
          <w:rFonts w:ascii="Arial" w:hAnsi="Arial" w:cs="Arial"/>
          <w:i/>
          <w:iCs/>
        </w:rPr>
        <w:t xml:space="preserve">The performance of this project will be tracked through milestones during the design, bid and construction phases of the project.  The milestones for the design phase are 30%, 60% and 90% designed.  The milestones for bidding are ready for bid, out to bid, and bid/contract awarded.  Construction is tracked as a percentage of project complete till attaining substantial completion and final completion. </w:t>
      </w:r>
    </w:p>
    <w:p w14:paraId="1576946F" w14:textId="6286A2E1" w:rsidR="000407E7" w:rsidRDefault="000407E7" w:rsidP="000407E7">
      <w:pPr>
        <w:pStyle w:val="ListParagraph"/>
        <w:tabs>
          <w:tab w:val="left" w:pos="7050"/>
        </w:tabs>
        <w:rPr>
          <w:rFonts w:ascii="Arial" w:hAnsi="Arial" w:cs="Arial"/>
          <w:i/>
          <w:iCs/>
        </w:rPr>
      </w:pPr>
    </w:p>
    <w:p w14:paraId="29D9A7C1" w14:textId="1B532398" w:rsidR="000407E7" w:rsidRPr="000407E7" w:rsidRDefault="000407E7" w:rsidP="000407E7">
      <w:pPr>
        <w:pStyle w:val="ListParagraph"/>
        <w:tabs>
          <w:tab w:val="left" w:pos="7050"/>
        </w:tabs>
        <w:rPr>
          <w:rFonts w:ascii="Arial" w:hAnsi="Arial" w:cs="Arial"/>
          <w:i/>
          <w:iCs/>
          <w:u w:val="single"/>
        </w:rPr>
      </w:pPr>
      <w:r>
        <w:rPr>
          <w:rFonts w:ascii="Arial" w:hAnsi="Arial" w:cs="Arial"/>
          <w:i/>
          <w:iCs/>
          <w:u w:val="single"/>
        </w:rPr>
        <w:t>Timeline for Project</w:t>
      </w:r>
      <w:r w:rsidRPr="000407E7">
        <w:rPr>
          <w:rFonts w:ascii="Arial" w:hAnsi="Arial" w:cs="Arial"/>
          <w:i/>
          <w:iCs/>
          <w:u w:val="single"/>
        </w:rPr>
        <w:t xml:space="preserve"> </w:t>
      </w:r>
    </w:p>
    <w:p w14:paraId="1E055EAC" w14:textId="41BEBBB8" w:rsidR="000407E7" w:rsidRPr="000407E7" w:rsidRDefault="000407E7" w:rsidP="000407E7">
      <w:pPr>
        <w:pStyle w:val="ListParagraph"/>
        <w:numPr>
          <w:ilvl w:val="0"/>
          <w:numId w:val="40"/>
        </w:numPr>
        <w:tabs>
          <w:tab w:val="left" w:pos="7050"/>
        </w:tabs>
        <w:rPr>
          <w:rFonts w:ascii="Arial" w:hAnsi="Arial" w:cs="Arial"/>
          <w:i/>
          <w:iCs/>
        </w:rPr>
      </w:pPr>
      <w:r w:rsidRPr="000407E7">
        <w:rPr>
          <w:rFonts w:ascii="Arial" w:hAnsi="Arial" w:cs="Arial"/>
          <w:i/>
          <w:iCs/>
        </w:rPr>
        <w:t>October 202</w:t>
      </w:r>
      <w:r w:rsidR="009119B4" w:rsidRPr="009119B4">
        <w:rPr>
          <w:rFonts w:ascii="Arial" w:hAnsi="Arial" w:cs="Arial"/>
          <w:i/>
          <w:iCs/>
        </w:rPr>
        <w:t>2</w:t>
      </w:r>
      <w:r w:rsidRPr="000407E7">
        <w:rPr>
          <w:rFonts w:ascii="Arial" w:hAnsi="Arial" w:cs="Arial"/>
          <w:i/>
          <w:iCs/>
        </w:rPr>
        <w:t>:  adjust scope for consultant for compliance with Federal requirements</w:t>
      </w:r>
      <w:r w:rsidR="009119B4" w:rsidRPr="009119B4">
        <w:rPr>
          <w:rFonts w:ascii="Arial" w:hAnsi="Arial" w:cs="Arial"/>
          <w:i/>
          <w:iCs/>
        </w:rPr>
        <w:t xml:space="preserve"> submitted through </w:t>
      </w:r>
      <w:proofErr w:type="spellStart"/>
      <w:r w:rsidR="009119B4" w:rsidRPr="009119B4">
        <w:rPr>
          <w:rFonts w:ascii="Arial" w:hAnsi="Arial" w:cs="Arial"/>
          <w:i/>
          <w:iCs/>
        </w:rPr>
        <w:t>OpenGov</w:t>
      </w:r>
      <w:proofErr w:type="spellEnd"/>
      <w:r w:rsidR="009119B4" w:rsidRPr="009119B4">
        <w:rPr>
          <w:rFonts w:ascii="Arial" w:hAnsi="Arial" w:cs="Arial"/>
          <w:i/>
          <w:iCs/>
        </w:rPr>
        <w:t xml:space="preserve"> to procurement</w:t>
      </w:r>
    </w:p>
    <w:p w14:paraId="4F0DB1DE" w14:textId="6C6C64AF" w:rsidR="000407E7" w:rsidRPr="009119B4" w:rsidRDefault="009119B4" w:rsidP="000407E7">
      <w:pPr>
        <w:pStyle w:val="ListParagraph"/>
        <w:numPr>
          <w:ilvl w:val="0"/>
          <w:numId w:val="40"/>
        </w:numPr>
        <w:tabs>
          <w:tab w:val="left" w:pos="7050"/>
        </w:tabs>
        <w:rPr>
          <w:rFonts w:ascii="Arial" w:hAnsi="Arial" w:cs="Arial"/>
          <w:i/>
          <w:iCs/>
        </w:rPr>
      </w:pPr>
      <w:r w:rsidRPr="009119B4">
        <w:rPr>
          <w:rFonts w:ascii="Arial" w:hAnsi="Arial" w:cs="Arial"/>
          <w:i/>
          <w:iCs/>
        </w:rPr>
        <w:t>Nove</w:t>
      </w:r>
      <w:r w:rsidR="000407E7" w:rsidRPr="000407E7">
        <w:rPr>
          <w:rFonts w:ascii="Arial" w:hAnsi="Arial" w:cs="Arial"/>
          <w:i/>
          <w:iCs/>
        </w:rPr>
        <w:t>mber 202</w:t>
      </w:r>
      <w:r w:rsidRPr="009119B4">
        <w:rPr>
          <w:rFonts w:ascii="Arial" w:hAnsi="Arial" w:cs="Arial"/>
          <w:i/>
          <w:iCs/>
        </w:rPr>
        <w:t>2</w:t>
      </w:r>
      <w:r w:rsidR="000407E7" w:rsidRPr="000407E7">
        <w:rPr>
          <w:rFonts w:ascii="Arial" w:hAnsi="Arial" w:cs="Arial"/>
          <w:i/>
          <w:iCs/>
        </w:rPr>
        <w:t>-</w:t>
      </w:r>
      <w:r w:rsidRPr="009119B4">
        <w:rPr>
          <w:rFonts w:ascii="Arial" w:hAnsi="Arial" w:cs="Arial"/>
          <w:i/>
          <w:iCs/>
        </w:rPr>
        <w:t>March</w:t>
      </w:r>
      <w:r w:rsidR="000407E7" w:rsidRPr="000407E7">
        <w:rPr>
          <w:rFonts w:ascii="Arial" w:hAnsi="Arial" w:cs="Arial"/>
          <w:i/>
          <w:iCs/>
        </w:rPr>
        <w:t xml:space="preserve"> 202</w:t>
      </w:r>
      <w:r w:rsidRPr="009119B4">
        <w:rPr>
          <w:rFonts w:ascii="Arial" w:hAnsi="Arial" w:cs="Arial"/>
          <w:i/>
          <w:iCs/>
        </w:rPr>
        <w:t>3</w:t>
      </w:r>
      <w:r w:rsidR="000407E7" w:rsidRPr="000407E7">
        <w:rPr>
          <w:rFonts w:ascii="Arial" w:hAnsi="Arial" w:cs="Arial"/>
          <w:i/>
          <w:iCs/>
        </w:rPr>
        <w:t xml:space="preserve">:  </w:t>
      </w:r>
      <w:r w:rsidRPr="009119B4">
        <w:rPr>
          <w:rFonts w:ascii="Arial" w:hAnsi="Arial" w:cs="Arial"/>
          <w:i/>
          <w:iCs/>
        </w:rPr>
        <w:t>Issue RFP for Professional Services for the Design, Permitting, and Construction Engineering &amp; Inspection (CEI)</w:t>
      </w:r>
    </w:p>
    <w:p w14:paraId="31D8261D" w14:textId="77777777" w:rsidR="009119B4" w:rsidRPr="009119B4" w:rsidRDefault="009119B4" w:rsidP="009119B4">
      <w:pPr>
        <w:pStyle w:val="ListParagraph"/>
        <w:numPr>
          <w:ilvl w:val="0"/>
          <w:numId w:val="40"/>
        </w:numPr>
        <w:rPr>
          <w:rFonts w:ascii="Arial" w:eastAsia="Times New Roman" w:hAnsi="Arial" w:cs="Arial"/>
          <w:i/>
          <w:iCs/>
        </w:rPr>
      </w:pPr>
      <w:r w:rsidRPr="009119B4">
        <w:rPr>
          <w:rFonts w:ascii="Arial" w:eastAsia="Times New Roman" w:hAnsi="Arial" w:cs="Arial"/>
          <w:i/>
          <w:iCs/>
        </w:rPr>
        <w:t>April 2023 – June 2023: Review and Rank responses to RFP for Professional Services and Award contract for Professional Services for the Design, Permitting, and Construction Engineering &amp; Inspection (CEI).</w:t>
      </w:r>
    </w:p>
    <w:p w14:paraId="4C3AE699" w14:textId="77777777" w:rsidR="009119B4" w:rsidRPr="009119B4" w:rsidRDefault="009119B4" w:rsidP="009119B4">
      <w:pPr>
        <w:pStyle w:val="ListParagraph"/>
        <w:numPr>
          <w:ilvl w:val="0"/>
          <w:numId w:val="40"/>
        </w:numPr>
        <w:rPr>
          <w:rFonts w:ascii="Arial" w:eastAsia="Times New Roman" w:hAnsi="Arial" w:cs="Arial"/>
          <w:i/>
          <w:iCs/>
        </w:rPr>
      </w:pPr>
      <w:r w:rsidRPr="009119B4">
        <w:rPr>
          <w:rFonts w:ascii="Arial" w:eastAsia="Times New Roman" w:hAnsi="Arial" w:cs="Arial"/>
          <w:i/>
          <w:iCs/>
        </w:rPr>
        <w:t>June 2023 – January 2024:  Design and Permitting of project.</w:t>
      </w:r>
    </w:p>
    <w:p w14:paraId="0AAD610A" w14:textId="77777777" w:rsidR="009119B4" w:rsidRPr="009119B4" w:rsidRDefault="009119B4" w:rsidP="009119B4">
      <w:pPr>
        <w:pStyle w:val="ListParagraph"/>
        <w:numPr>
          <w:ilvl w:val="0"/>
          <w:numId w:val="40"/>
        </w:numPr>
        <w:rPr>
          <w:rFonts w:ascii="Arial" w:eastAsia="Times New Roman" w:hAnsi="Arial" w:cs="Arial"/>
          <w:i/>
          <w:iCs/>
        </w:rPr>
      </w:pPr>
      <w:r w:rsidRPr="009119B4">
        <w:rPr>
          <w:rFonts w:ascii="Arial" w:eastAsia="Times New Roman" w:hAnsi="Arial" w:cs="Arial"/>
          <w:i/>
          <w:iCs/>
        </w:rPr>
        <w:t>January 2024 – April 2024:  Bid and Award of Construction project.</w:t>
      </w:r>
    </w:p>
    <w:p w14:paraId="38706DDD" w14:textId="77777777" w:rsidR="009119B4" w:rsidRPr="009119B4" w:rsidRDefault="009119B4" w:rsidP="009119B4">
      <w:pPr>
        <w:pStyle w:val="ListParagraph"/>
        <w:numPr>
          <w:ilvl w:val="0"/>
          <w:numId w:val="40"/>
        </w:numPr>
        <w:rPr>
          <w:rFonts w:ascii="Arial" w:eastAsia="Times New Roman" w:hAnsi="Arial" w:cs="Arial"/>
          <w:i/>
          <w:iCs/>
        </w:rPr>
      </w:pPr>
      <w:r w:rsidRPr="009119B4">
        <w:rPr>
          <w:rFonts w:ascii="Arial" w:eastAsia="Times New Roman" w:hAnsi="Arial" w:cs="Arial"/>
          <w:i/>
          <w:iCs/>
        </w:rPr>
        <w:t>May 2024 – December 2024:  Construction of Water Lines and all necessary connections as per design requirements.</w:t>
      </w:r>
    </w:p>
    <w:p w14:paraId="4C3377B9" w14:textId="77777777" w:rsidR="009119B4" w:rsidRPr="009119B4" w:rsidRDefault="009119B4" w:rsidP="009119B4">
      <w:pPr>
        <w:pStyle w:val="ListParagraph"/>
        <w:numPr>
          <w:ilvl w:val="0"/>
          <w:numId w:val="40"/>
        </w:numPr>
        <w:rPr>
          <w:rFonts w:ascii="Arial" w:eastAsia="Times New Roman" w:hAnsi="Arial" w:cs="Arial"/>
          <w:i/>
          <w:iCs/>
        </w:rPr>
      </w:pPr>
      <w:r w:rsidRPr="009119B4">
        <w:rPr>
          <w:rFonts w:ascii="Arial" w:eastAsia="Times New Roman" w:hAnsi="Arial" w:cs="Arial"/>
          <w:i/>
          <w:iCs/>
        </w:rPr>
        <w:t>January 2025 – March 2025:  Transfer of Utility to City of Alachua.</w:t>
      </w:r>
    </w:p>
    <w:p w14:paraId="155F7F51" w14:textId="77777777" w:rsidR="009119B4" w:rsidRDefault="009119B4" w:rsidP="009119B4">
      <w:pPr>
        <w:pStyle w:val="ListParagraph"/>
        <w:tabs>
          <w:tab w:val="left" w:pos="7050"/>
        </w:tabs>
        <w:ind w:left="1080"/>
        <w:rPr>
          <w:rFonts w:ascii="Arial" w:hAnsi="Arial" w:cs="Arial"/>
          <w:i/>
          <w:iCs/>
          <w:u w:val="single"/>
        </w:rPr>
      </w:pPr>
    </w:p>
    <w:p w14:paraId="4D1BB008" w14:textId="2511C1C3" w:rsidR="000407E7" w:rsidRDefault="000407E7" w:rsidP="000407E7">
      <w:pPr>
        <w:pStyle w:val="ListParagraph"/>
        <w:tabs>
          <w:tab w:val="left" w:pos="7050"/>
        </w:tabs>
        <w:ind w:left="1080"/>
        <w:rPr>
          <w:rFonts w:ascii="Arial" w:hAnsi="Arial" w:cs="Arial"/>
          <w:i/>
          <w:iCs/>
          <w:u w:val="single"/>
        </w:rPr>
      </w:pPr>
    </w:p>
    <w:p w14:paraId="35432843" w14:textId="77777777" w:rsidR="009119B4" w:rsidRPr="000407E7" w:rsidRDefault="009119B4" w:rsidP="000407E7">
      <w:pPr>
        <w:pStyle w:val="ListParagraph"/>
        <w:tabs>
          <w:tab w:val="left" w:pos="7050"/>
        </w:tabs>
        <w:ind w:left="1080"/>
        <w:rPr>
          <w:rFonts w:ascii="Arial" w:hAnsi="Arial" w:cs="Arial"/>
          <w:i/>
          <w:iCs/>
          <w:u w:val="single"/>
        </w:rPr>
      </w:pPr>
    </w:p>
    <w:sectPr w:rsidR="009119B4" w:rsidRPr="000407E7" w:rsidSect="00F366B0">
      <w:footerReference w:type="default" r:id="rId12"/>
      <w:footerReference w:type="first" r:id="rId13"/>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FFD2" w14:textId="77777777" w:rsidR="002D6E4F" w:rsidRDefault="002D6E4F" w:rsidP="00B90454">
      <w:pPr>
        <w:spacing w:after="0" w:line="240" w:lineRule="auto"/>
      </w:pPr>
      <w:r>
        <w:separator/>
      </w:r>
    </w:p>
  </w:endnote>
  <w:endnote w:type="continuationSeparator" w:id="0">
    <w:p w14:paraId="3ED2B516" w14:textId="77777777" w:rsidR="002D6E4F" w:rsidRDefault="002D6E4F" w:rsidP="00B90454">
      <w:pPr>
        <w:spacing w:after="0" w:line="240" w:lineRule="auto"/>
      </w:pPr>
      <w:r>
        <w:continuationSeparator/>
      </w:r>
    </w:p>
  </w:endnote>
  <w:endnote w:type="continuationNotice" w:id="1">
    <w:p w14:paraId="417A037E" w14:textId="77777777" w:rsidR="002D6E4F" w:rsidRDefault="002D6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8D8F" w14:textId="77777777" w:rsidR="002060C0" w:rsidRDefault="002060C0" w:rsidP="00EA3B2C">
    <w:pPr>
      <w:pStyle w:val="Footer"/>
      <w:rPr>
        <w:rFonts w:ascii="Arial" w:hAnsi="Arial" w:cs="Arial"/>
        <w:sz w:val="20"/>
        <w:szCs w:val="20"/>
      </w:rPr>
    </w:pPr>
  </w:p>
  <w:p w14:paraId="6715CC61" w14:textId="77777777" w:rsidR="002060C0" w:rsidRDefault="002060C0" w:rsidP="00EA3B2C">
    <w:pPr>
      <w:pStyle w:val="Footer"/>
      <w:rPr>
        <w:rFonts w:ascii="Arial" w:hAnsi="Arial" w:cs="Arial"/>
        <w:sz w:val="20"/>
        <w:szCs w:val="20"/>
      </w:rPr>
    </w:pPr>
  </w:p>
  <w:p w14:paraId="39323CD4" w14:textId="61CF47E4" w:rsidR="002060C0" w:rsidRPr="00F366B0" w:rsidRDefault="00D45535" w:rsidP="00F366B0">
    <w:pPr>
      <w:pStyle w:val="Footer"/>
      <w:rPr>
        <w:rFonts w:ascii="Arial" w:hAnsi="Arial" w:cs="Arial"/>
        <w:sz w:val="20"/>
        <w:szCs w:val="20"/>
      </w:rPr>
    </w:pPr>
    <w:r>
      <w:rPr>
        <w:rFonts w:ascii="Arial" w:hAnsi="Arial" w:cs="Arial"/>
        <w:sz w:val="20"/>
        <w:szCs w:val="20"/>
      </w:rPr>
      <w:t xml:space="preserve">County </w:t>
    </w:r>
    <w:r w:rsidR="0077166F">
      <w:rPr>
        <w:rFonts w:ascii="Arial" w:hAnsi="Arial" w:cs="Arial"/>
        <w:sz w:val="20"/>
        <w:szCs w:val="20"/>
      </w:rPr>
      <w:t xml:space="preserve">Government </w:t>
    </w:r>
    <w:r>
      <w:rPr>
        <w:rFonts w:ascii="Arial" w:hAnsi="Arial" w:cs="Arial"/>
        <w:sz w:val="20"/>
        <w:szCs w:val="20"/>
      </w:rPr>
      <w:t>Santa Fe Hills Water System</w:t>
    </w:r>
    <w:r w:rsidR="002060C0"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002060C0" w:rsidRPr="00F366B0">
          <w:rPr>
            <w:rFonts w:ascii="Arial" w:hAnsi="Arial" w:cs="Arial"/>
            <w:sz w:val="20"/>
            <w:szCs w:val="20"/>
          </w:rPr>
          <w:fldChar w:fldCharType="begin"/>
        </w:r>
        <w:r w:rsidR="002060C0" w:rsidRPr="00F366B0">
          <w:rPr>
            <w:rFonts w:ascii="Arial" w:hAnsi="Arial" w:cs="Arial"/>
            <w:sz w:val="20"/>
            <w:szCs w:val="20"/>
          </w:rPr>
          <w:instrText xml:space="preserve"> PAGE   \* MERGEFORMAT </w:instrText>
        </w:r>
        <w:r w:rsidR="002060C0" w:rsidRPr="00F366B0">
          <w:rPr>
            <w:rFonts w:ascii="Arial" w:hAnsi="Arial" w:cs="Arial"/>
            <w:sz w:val="20"/>
            <w:szCs w:val="20"/>
          </w:rPr>
          <w:fldChar w:fldCharType="separate"/>
        </w:r>
        <w:r w:rsidR="002060C0" w:rsidRPr="00F366B0">
          <w:rPr>
            <w:rFonts w:ascii="Arial" w:hAnsi="Arial" w:cs="Arial"/>
            <w:noProof/>
            <w:sz w:val="20"/>
            <w:szCs w:val="20"/>
          </w:rPr>
          <w:t>2</w:t>
        </w:r>
        <w:r w:rsidR="002060C0" w:rsidRPr="00F366B0">
          <w:rPr>
            <w:rFonts w:ascii="Arial" w:hAnsi="Arial" w:cs="Arial"/>
            <w:noProof/>
            <w:sz w:val="20"/>
            <w:szCs w:val="20"/>
          </w:rPr>
          <w:fldChar w:fldCharType="end"/>
        </w:r>
        <w:r w:rsidR="002060C0"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A39" w14:textId="77777777" w:rsidR="002060C0" w:rsidRPr="00F366B0" w:rsidRDefault="002060C0" w:rsidP="00FD4AA2">
    <w:pPr>
      <w:pStyle w:val="Header"/>
      <w:rPr>
        <w:rFonts w:ascii="Arial" w:hAnsi="Arial" w:cs="Arial"/>
      </w:rPr>
    </w:pPr>
  </w:p>
  <w:p w14:paraId="1004145F" w14:textId="39D182C7" w:rsidR="002060C0" w:rsidRPr="00361A07" w:rsidRDefault="002060C0"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4274" w14:textId="77777777" w:rsidR="002D6E4F" w:rsidRDefault="002D6E4F" w:rsidP="00B90454">
      <w:pPr>
        <w:spacing w:after="0" w:line="240" w:lineRule="auto"/>
      </w:pPr>
      <w:r>
        <w:separator/>
      </w:r>
    </w:p>
  </w:footnote>
  <w:footnote w:type="continuationSeparator" w:id="0">
    <w:p w14:paraId="0375335E" w14:textId="77777777" w:rsidR="002D6E4F" w:rsidRDefault="002D6E4F" w:rsidP="00B90454">
      <w:pPr>
        <w:spacing w:after="0" w:line="240" w:lineRule="auto"/>
      </w:pPr>
      <w:r>
        <w:continuationSeparator/>
      </w:r>
    </w:p>
  </w:footnote>
  <w:footnote w:type="continuationNotice" w:id="1">
    <w:p w14:paraId="38BDE551" w14:textId="77777777" w:rsidR="002D6E4F" w:rsidRDefault="002D6E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F1D"/>
    <w:multiLevelType w:val="hybridMultilevel"/>
    <w:tmpl w:val="3DC4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5F3"/>
    <w:multiLevelType w:val="hybridMultilevel"/>
    <w:tmpl w:val="E7B2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7812"/>
    <w:multiLevelType w:val="hybridMultilevel"/>
    <w:tmpl w:val="185E2AA4"/>
    <w:lvl w:ilvl="0" w:tplc="89EE1B24">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52283720">
      <w:start w:val="1"/>
      <w:numFmt w:val="upperLetter"/>
      <w:lvlText w:val="%4."/>
      <w:lvlJc w:val="left"/>
      <w:pPr>
        <w:ind w:left="10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BC5B3C"/>
    <w:multiLevelType w:val="hybridMultilevel"/>
    <w:tmpl w:val="A4DC09F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32C86"/>
    <w:multiLevelType w:val="hybridMultilevel"/>
    <w:tmpl w:val="9E06B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45CCA"/>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B71E2"/>
    <w:multiLevelType w:val="hybridMultilevel"/>
    <w:tmpl w:val="7AB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245B788E"/>
    <w:multiLevelType w:val="hybridMultilevel"/>
    <w:tmpl w:val="827A009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51A63"/>
    <w:multiLevelType w:val="hybridMultilevel"/>
    <w:tmpl w:val="D868D05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50319"/>
    <w:multiLevelType w:val="hybridMultilevel"/>
    <w:tmpl w:val="B384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67C66"/>
    <w:multiLevelType w:val="hybridMultilevel"/>
    <w:tmpl w:val="49E2B660"/>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7F50"/>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E6739"/>
    <w:multiLevelType w:val="hybridMultilevel"/>
    <w:tmpl w:val="9406259A"/>
    <w:lvl w:ilvl="0" w:tplc="B5BC8C8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6A643FF"/>
    <w:multiLevelType w:val="hybridMultilevel"/>
    <w:tmpl w:val="BD70E862"/>
    <w:lvl w:ilvl="0" w:tplc="7602A0A6">
      <w:start w:val="1"/>
      <w:numFmt w:val="bullet"/>
      <w:lvlText w:val="•"/>
      <w:lvlJc w:val="left"/>
      <w:pPr>
        <w:tabs>
          <w:tab w:val="num" w:pos="720"/>
        </w:tabs>
        <w:ind w:left="720" w:hanging="360"/>
      </w:pPr>
      <w:rPr>
        <w:rFonts w:ascii="Arial" w:hAnsi="Arial" w:hint="default"/>
      </w:rPr>
    </w:lvl>
    <w:lvl w:ilvl="1" w:tplc="B0704BC2" w:tentative="1">
      <w:start w:val="1"/>
      <w:numFmt w:val="bullet"/>
      <w:lvlText w:val="•"/>
      <w:lvlJc w:val="left"/>
      <w:pPr>
        <w:tabs>
          <w:tab w:val="num" w:pos="1440"/>
        </w:tabs>
        <w:ind w:left="1440" w:hanging="360"/>
      </w:pPr>
      <w:rPr>
        <w:rFonts w:ascii="Arial" w:hAnsi="Arial" w:hint="default"/>
      </w:rPr>
    </w:lvl>
    <w:lvl w:ilvl="2" w:tplc="DBEEC58E" w:tentative="1">
      <w:start w:val="1"/>
      <w:numFmt w:val="bullet"/>
      <w:lvlText w:val="•"/>
      <w:lvlJc w:val="left"/>
      <w:pPr>
        <w:tabs>
          <w:tab w:val="num" w:pos="2160"/>
        </w:tabs>
        <w:ind w:left="2160" w:hanging="360"/>
      </w:pPr>
      <w:rPr>
        <w:rFonts w:ascii="Arial" w:hAnsi="Arial" w:hint="default"/>
      </w:rPr>
    </w:lvl>
    <w:lvl w:ilvl="3" w:tplc="80604144" w:tentative="1">
      <w:start w:val="1"/>
      <w:numFmt w:val="bullet"/>
      <w:lvlText w:val="•"/>
      <w:lvlJc w:val="left"/>
      <w:pPr>
        <w:tabs>
          <w:tab w:val="num" w:pos="2880"/>
        </w:tabs>
        <w:ind w:left="2880" w:hanging="360"/>
      </w:pPr>
      <w:rPr>
        <w:rFonts w:ascii="Arial" w:hAnsi="Arial" w:hint="default"/>
      </w:rPr>
    </w:lvl>
    <w:lvl w:ilvl="4" w:tplc="52420B98" w:tentative="1">
      <w:start w:val="1"/>
      <w:numFmt w:val="bullet"/>
      <w:lvlText w:val="•"/>
      <w:lvlJc w:val="left"/>
      <w:pPr>
        <w:tabs>
          <w:tab w:val="num" w:pos="3600"/>
        </w:tabs>
        <w:ind w:left="3600" w:hanging="360"/>
      </w:pPr>
      <w:rPr>
        <w:rFonts w:ascii="Arial" w:hAnsi="Arial" w:hint="default"/>
      </w:rPr>
    </w:lvl>
    <w:lvl w:ilvl="5" w:tplc="4B4062E2" w:tentative="1">
      <w:start w:val="1"/>
      <w:numFmt w:val="bullet"/>
      <w:lvlText w:val="•"/>
      <w:lvlJc w:val="left"/>
      <w:pPr>
        <w:tabs>
          <w:tab w:val="num" w:pos="4320"/>
        </w:tabs>
        <w:ind w:left="4320" w:hanging="360"/>
      </w:pPr>
      <w:rPr>
        <w:rFonts w:ascii="Arial" w:hAnsi="Arial" w:hint="default"/>
      </w:rPr>
    </w:lvl>
    <w:lvl w:ilvl="6" w:tplc="CF9E58A0" w:tentative="1">
      <w:start w:val="1"/>
      <w:numFmt w:val="bullet"/>
      <w:lvlText w:val="•"/>
      <w:lvlJc w:val="left"/>
      <w:pPr>
        <w:tabs>
          <w:tab w:val="num" w:pos="5040"/>
        </w:tabs>
        <w:ind w:left="5040" w:hanging="360"/>
      </w:pPr>
      <w:rPr>
        <w:rFonts w:ascii="Arial" w:hAnsi="Arial" w:hint="default"/>
      </w:rPr>
    </w:lvl>
    <w:lvl w:ilvl="7" w:tplc="8B70EB9C" w:tentative="1">
      <w:start w:val="1"/>
      <w:numFmt w:val="bullet"/>
      <w:lvlText w:val="•"/>
      <w:lvlJc w:val="left"/>
      <w:pPr>
        <w:tabs>
          <w:tab w:val="num" w:pos="5760"/>
        </w:tabs>
        <w:ind w:left="5760" w:hanging="360"/>
      </w:pPr>
      <w:rPr>
        <w:rFonts w:ascii="Arial" w:hAnsi="Arial" w:hint="default"/>
      </w:rPr>
    </w:lvl>
    <w:lvl w:ilvl="8" w:tplc="7A521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1300BB"/>
    <w:multiLevelType w:val="hybridMultilevel"/>
    <w:tmpl w:val="DA42D2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6D78C5"/>
    <w:multiLevelType w:val="hybridMultilevel"/>
    <w:tmpl w:val="D7FC6ED4"/>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D325994"/>
    <w:multiLevelType w:val="hybridMultilevel"/>
    <w:tmpl w:val="BD56105E"/>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55D7"/>
    <w:multiLevelType w:val="hybridMultilevel"/>
    <w:tmpl w:val="74D8DD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D77A5"/>
    <w:multiLevelType w:val="hybridMultilevel"/>
    <w:tmpl w:val="3918E100"/>
    <w:lvl w:ilvl="0" w:tplc="89EE1B2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0A44BC"/>
    <w:multiLevelType w:val="hybridMultilevel"/>
    <w:tmpl w:val="9D88F092"/>
    <w:lvl w:ilvl="0" w:tplc="DB80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540CA"/>
    <w:multiLevelType w:val="hybridMultilevel"/>
    <w:tmpl w:val="ABBC012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62EF5"/>
    <w:multiLevelType w:val="hybridMultilevel"/>
    <w:tmpl w:val="529231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072A2"/>
    <w:multiLevelType w:val="hybridMultilevel"/>
    <w:tmpl w:val="DEE0D86A"/>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508A6"/>
    <w:multiLevelType w:val="hybridMultilevel"/>
    <w:tmpl w:val="D8BC51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A8068A"/>
    <w:multiLevelType w:val="hybridMultilevel"/>
    <w:tmpl w:val="11902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7D4454"/>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510980"/>
    <w:multiLevelType w:val="hybridMultilevel"/>
    <w:tmpl w:val="5AD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B0DAB"/>
    <w:multiLevelType w:val="hybridMultilevel"/>
    <w:tmpl w:val="19DC75AC"/>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B61DD"/>
    <w:multiLevelType w:val="hybridMultilevel"/>
    <w:tmpl w:val="4C76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669DF"/>
    <w:multiLevelType w:val="hybridMultilevel"/>
    <w:tmpl w:val="80829DCA"/>
    <w:lvl w:ilvl="0" w:tplc="45C4F9C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0" w15:restartNumberingAfterBreak="0">
    <w:nsid w:val="52AA0B70"/>
    <w:multiLevelType w:val="hybridMultilevel"/>
    <w:tmpl w:val="3930438E"/>
    <w:lvl w:ilvl="0" w:tplc="A58EB712">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46A5B"/>
    <w:multiLevelType w:val="hybridMultilevel"/>
    <w:tmpl w:val="CCA212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95BD5"/>
    <w:multiLevelType w:val="hybridMultilevel"/>
    <w:tmpl w:val="864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FA3622"/>
    <w:multiLevelType w:val="hybridMultilevel"/>
    <w:tmpl w:val="057835F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129BB"/>
    <w:multiLevelType w:val="hybridMultilevel"/>
    <w:tmpl w:val="4F24794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F73EC"/>
    <w:multiLevelType w:val="hybridMultilevel"/>
    <w:tmpl w:val="EA8A3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F06EB8"/>
    <w:multiLevelType w:val="hybridMultilevel"/>
    <w:tmpl w:val="D526BC4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496A94"/>
    <w:multiLevelType w:val="hybridMultilevel"/>
    <w:tmpl w:val="DA02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593983"/>
    <w:multiLevelType w:val="hybridMultilevel"/>
    <w:tmpl w:val="2168DC34"/>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0D9175C"/>
    <w:multiLevelType w:val="hybridMultilevel"/>
    <w:tmpl w:val="C1F09E32"/>
    <w:lvl w:ilvl="0" w:tplc="7986A02C">
      <w:start w:val="1"/>
      <w:numFmt w:val="lowerRoman"/>
      <w:lvlText w:val="%1."/>
      <w:lvlJc w:val="righ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4C45337"/>
    <w:multiLevelType w:val="hybridMultilevel"/>
    <w:tmpl w:val="72968376"/>
    <w:lvl w:ilvl="0" w:tplc="3BE06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E06C4"/>
    <w:multiLevelType w:val="hybridMultilevel"/>
    <w:tmpl w:val="74A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700625">
    <w:abstractNumId w:val="41"/>
  </w:num>
  <w:num w:numId="2" w16cid:durableId="1002049456">
    <w:abstractNumId w:val="30"/>
  </w:num>
  <w:num w:numId="3" w16cid:durableId="2091659127">
    <w:abstractNumId w:val="2"/>
  </w:num>
  <w:num w:numId="4" w16cid:durableId="1019701588">
    <w:abstractNumId w:val="18"/>
  </w:num>
  <w:num w:numId="5" w16cid:durableId="863516980">
    <w:abstractNumId w:val="5"/>
  </w:num>
  <w:num w:numId="6" w16cid:durableId="2002156198">
    <w:abstractNumId w:val="14"/>
  </w:num>
  <w:num w:numId="7" w16cid:durableId="737047144">
    <w:abstractNumId w:val="31"/>
  </w:num>
  <w:num w:numId="8" w16cid:durableId="1087922058">
    <w:abstractNumId w:val="19"/>
  </w:num>
  <w:num w:numId="9" w16cid:durableId="845822413">
    <w:abstractNumId w:val="22"/>
  </w:num>
  <w:num w:numId="10" w16cid:durableId="887377731">
    <w:abstractNumId w:val="25"/>
  </w:num>
  <w:num w:numId="11" w16cid:durableId="1017073064">
    <w:abstractNumId w:val="17"/>
  </w:num>
  <w:num w:numId="12" w16cid:durableId="1193881314">
    <w:abstractNumId w:val="9"/>
  </w:num>
  <w:num w:numId="13" w16cid:durableId="1553806065">
    <w:abstractNumId w:val="21"/>
  </w:num>
  <w:num w:numId="14" w16cid:durableId="1974215831">
    <w:abstractNumId w:val="13"/>
  </w:num>
  <w:num w:numId="15" w16cid:durableId="1448230131">
    <w:abstractNumId w:val="10"/>
  </w:num>
  <w:num w:numId="16" w16cid:durableId="862325914">
    <w:abstractNumId w:val="16"/>
  </w:num>
  <w:num w:numId="17" w16cid:durableId="1807233747">
    <w:abstractNumId w:val="11"/>
  </w:num>
  <w:num w:numId="18" w16cid:durableId="120660740">
    <w:abstractNumId w:val="29"/>
  </w:num>
  <w:num w:numId="19" w16cid:durableId="637033986">
    <w:abstractNumId w:val="40"/>
  </w:num>
  <w:num w:numId="20" w16cid:durableId="105976448">
    <w:abstractNumId w:val="0"/>
  </w:num>
  <w:num w:numId="21" w16cid:durableId="522474473">
    <w:abstractNumId w:val="1"/>
  </w:num>
  <w:num w:numId="22" w16cid:durableId="622272234">
    <w:abstractNumId w:val="26"/>
  </w:num>
  <w:num w:numId="23" w16cid:durableId="1471172233">
    <w:abstractNumId w:val="20"/>
  </w:num>
  <w:num w:numId="24" w16cid:durableId="1220871252">
    <w:abstractNumId w:val="34"/>
  </w:num>
  <w:num w:numId="25" w16cid:durableId="9838282">
    <w:abstractNumId w:val="27"/>
  </w:num>
  <w:num w:numId="26" w16cid:durableId="1045720417">
    <w:abstractNumId w:val="33"/>
  </w:num>
  <w:num w:numId="27" w16cid:durableId="320428531">
    <w:abstractNumId w:val="32"/>
  </w:num>
  <w:num w:numId="28" w16cid:durableId="923105104">
    <w:abstractNumId w:val="39"/>
  </w:num>
  <w:num w:numId="29" w16cid:durableId="706688125">
    <w:abstractNumId w:val="28"/>
  </w:num>
  <w:num w:numId="30" w16cid:durableId="491718804">
    <w:abstractNumId w:val="6"/>
  </w:num>
  <w:num w:numId="31" w16cid:durableId="881593523">
    <w:abstractNumId w:val="15"/>
  </w:num>
  <w:num w:numId="32" w16cid:durableId="2060088586">
    <w:abstractNumId w:val="38"/>
  </w:num>
  <w:num w:numId="33" w16cid:durableId="563686505">
    <w:abstractNumId w:val="23"/>
  </w:num>
  <w:num w:numId="34" w16cid:durableId="32703026">
    <w:abstractNumId w:val="4"/>
  </w:num>
  <w:num w:numId="35" w16cid:durableId="1609044237">
    <w:abstractNumId w:val="3"/>
  </w:num>
  <w:num w:numId="36" w16cid:durableId="827134374">
    <w:abstractNumId w:val="7"/>
  </w:num>
  <w:num w:numId="37" w16cid:durableId="220334944">
    <w:abstractNumId w:val="8"/>
  </w:num>
  <w:num w:numId="38" w16cid:durableId="1830704670">
    <w:abstractNumId w:val="36"/>
  </w:num>
  <w:num w:numId="39" w16cid:durableId="1446730682">
    <w:abstractNumId w:val="12"/>
  </w:num>
  <w:num w:numId="40" w16cid:durableId="895287603">
    <w:abstractNumId w:val="35"/>
  </w:num>
  <w:num w:numId="41" w16cid:durableId="1623029821">
    <w:abstractNumId w:val="37"/>
  </w:num>
  <w:num w:numId="42" w16cid:durableId="1474637843">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54"/>
    <w:rsid w:val="00005DDA"/>
    <w:rsid w:val="000134C6"/>
    <w:rsid w:val="00013AE4"/>
    <w:rsid w:val="00013F99"/>
    <w:rsid w:val="00016BA1"/>
    <w:rsid w:val="00023F35"/>
    <w:rsid w:val="000260F8"/>
    <w:rsid w:val="00037961"/>
    <w:rsid w:val="0004009D"/>
    <w:rsid w:val="00040531"/>
    <w:rsid w:val="000407E7"/>
    <w:rsid w:val="00040C6C"/>
    <w:rsid w:val="00045804"/>
    <w:rsid w:val="000475E8"/>
    <w:rsid w:val="000503BD"/>
    <w:rsid w:val="00055A98"/>
    <w:rsid w:val="00062656"/>
    <w:rsid w:val="00066ECB"/>
    <w:rsid w:val="00070796"/>
    <w:rsid w:val="000715D5"/>
    <w:rsid w:val="000740D8"/>
    <w:rsid w:val="000757DE"/>
    <w:rsid w:val="0007601B"/>
    <w:rsid w:val="00087176"/>
    <w:rsid w:val="000964EA"/>
    <w:rsid w:val="00096F21"/>
    <w:rsid w:val="000A001D"/>
    <w:rsid w:val="000A1EC0"/>
    <w:rsid w:val="000B43C7"/>
    <w:rsid w:val="000C1A11"/>
    <w:rsid w:val="000C3740"/>
    <w:rsid w:val="000C7531"/>
    <w:rsid w:val="000D0958"/>
    <w:rsid w:val="000D1E66"/>
    <w:rsid w:val="000D21FF"/>
    <w:rsid w:val="000D31C8"/>
    <w:rsid w:val="000D3F12"/>
    <w:rsid w:val="000D5758"/>
    <w:rsid w:val="000E12F1"/>
    <w:rsid w:val="000E4C85"/>
    <w:rsid w:val="000E56D4"/>
    <w:rsid w:val="000F3DBE"/>
    <w:rsid w:val="000F5956"/>
    <w:rsid w:val="000F6C28"/>
    <w:rsid w:val="000F6FCF"/>
    <w:rsid w:val="000F7B54"/>
    <w:rsid w:val="00105C90"/>
    <w:rsid w:val="00107A0E"/>
    <w:rsid w:val="001102B6"/>
    <w:rsid w:val="0011333D"/>
    <w:rsid w:val="001179D8"/>
    <w:rsid w:val="0012141C"/>
    <w:rsid w:val="00122ADE"/>
    <w:rsid w:val="0012462E"/>
    <w:rsid w:val="00126D7D"/>
    <w:rsid w:val="0013531A"/>
    <w:rsid w:val="00135C72"/>
    <w:rsid w:val="00142B63"/>
    <w:rsid w:val="001455A3"/>
    <w:rsid w:val="00146311"/>
    <w:rsid w:val="00152139"/>
    <w:rsid w:val="00153B5A"/>
    <w:rsid w:val="00156F9E"/>
    <w:rsid w:val="00157236"/>
    <w:rsid w:val="00157A0B"/>
    <w:rsid w:val="00167010"/>
    <w:rsid w:val="0016793D"/>
    <w:rsid w:val="00174FBD"/>
    <w:rsid w:val="00181946"/>
    <w:rsid w:val="00181BB1"/>
    <w:rsid w:val="001851B5"/>
    <w:rsid w:val="00186100"/>
    <w:rsid w:val="00187342"/>
    <w:rsid w:val="001953F2"/>
    <w:rsid w:val="0019543C"/>
    <w:rsid w:val="00195853"/>
    <w:rsid w:val="001976FF"/>
    <w:rsid w:val="001A180C"/>
    <w:rsid w:val="001A5303"/>
    <w:rsid w:val="001B0D4D"/>
    <w:rsid w:val="001B3814"/>
    <w:rsid w:val="001B4963"/>
    <w:rsid w:val="001B53C0"/>
    <w:rsid w:val="001B678F"/>
    <w:rsid w:val="001C0603"/>
    <w:rsid w:val="001C2446"/>
    <w:rsid w:val="001C2C65"/>
    <w:rsid w:val="001C2E47"/>
    <w:rsid w:val="001C5399"/>
    <w:rsid w:val="001C5936"/>
    <w:rsid w:val="001D0489"/>
    <w:rsid w:val="001D0A0C"/>
    <w:rsid w:val="001D12EF"/>
    <w:rsid w:val="001D790A"/>
    <w:rsid w:val="001E2186"/>
    <w:rsid w:val="001E4EDD"/>
    <w:rsid w:val="001E5F72"/>
    <w:rsid w:val="001F2B9A"/>
    <w:rsid w:val="001F74F7"/>
    <w:rsid w:val="0020011A"/>
    <w:rsid w:val="00202D80"/>
    <w:rsid w:val="002053A7"/>
    <w:rsid w:val="00205558"/>
    <w:rsid w:val="00205E08"/>
    <w:rsid w:val="002060C0"/>
    <w:rsid w:val="0020797C"/>
    <w:rsid w:val="002102E2"/>
    <w:rsid w:val="00210FF3"/>
    <w:rsid w:val="002115E5"/>
    <w:rsid w:val="002155DE"/>
    <w:rsid w:val="00220F5E"/>
    <w:rsid w:val="00221E52"/>
    <w:rsid w:val="002237F4"/>
    <w:rsid w:val="00224545"/>
    <w:rsid w:val="00227C97"/>
    <w:rsid w:val="002301A1"/>
    <w:rsid w:val="00230EA7"/>
    <w:rsid w:val="00232DBF"/>
    <w:rsid w:val="0023366A"/>
    <w:rsid w:val="00236E54"/>
    <w:rsid w:val="00237AD1"/>
    <w:rsid w:val="002408E9"/>
    <w:rsid w:val="0024496A"/>
    <w:rsid w:val="00255128"/>
    <w:rsid w:val="00255F2B"/>
    <w:rsid w:val="0025676B"/>
    <w:rsid w:val="00256D21"/>
    <w:rsid w:val="00262A08"/>
    <w:rsid w:val="002740E9"/>
    <w:rsid w:val="00276FEA"/>
    <w:rsid w:val="00277340"/>
    <w:rsid w:val="0027743F"/>
    <w:rsid w:val="00281905"/>
    <w:rsid w:val="00282A1A"/>
    <w:rsid w:val="002853E4"/>
    <w:rsid w:val="00285473"/>
    <w:rsid w:val="00295F92"/>
    <w:rsid w:val="00296209"/>
    <w:rsid w:val="002A40A5"/>
    <w:rsid w:val="002B3183"/>
    <w:rsid w:val="002C3F01"/>
    <w:rsid w:val="002D270A"/>
    <w:rsid w:val="002D6E4F"/>
    <w:rsid w:val="002E2502"/>
    <w:rsid w:val="002F19DB"/>
    <w:rsid w:val="002F4825"/>
    <w:rsid w:val="002F4FC8"/>
    <w:rsid w:val="003105A0"/>
    <w:rsid w:val="00314001"/>
    <w:rsid w:val="00316438"/>
    <w:rsid w:val="00327DC4"/>
    <w:rsid w:val="00340DBB"/>
    <w:rsid w:val="003448CB"/>
    <w:rsid w:val="00346623"/>
    <w:rsid w:val="00350845"/>
    <w:rsid w:val="0035556A"/>
    <w:rsid w:val="00356484"/>
    <w:rsid w:val="00357F38"/>
    <w:rsid w:val="0036160B"/>
    <w:rsid w:val="00361A07"/>
    <w:rsid w:val="00361C3C"/>
    <w:rsid w:val="00362EA5"/>
    <w:rsid w:val="00363C09"/>
    <w:rsid w:val="003642E8"/>
    <w:rsid w:val="00366787"/>
    <w:rsid w:val="003677D3"/>
    <w:rsid w:val="0037222E"/>
    <w:rsid w:val="00375003"/>
    <w:rsid w:val="00380D62"/>
    <w:rsid w:val="003901CF"/>
    <w:rsid w:val="00394AC8"/>
    <w:rsid w:val="003A00EB"/>
    <w:rsid w:val="003C1C7A"/>
    <w:rsid w:val="003C2C63"/>
    <w:rsid w:val="003C7B5E"/>
    <w:rsid w:val="003D029E"/>
    <w:rsid w:val="003D400E"/>
    <w:rsid w:val="003D6716"/>
    <w:rsid w:val="003E7641"/>
    <w:rsid w:val="003F4CED"/>
    <w:rsid w:val="003F614A"/>
    <w:rsid w:val="003F7C81"/>
    <w:rsid w:val="004028F0"/>
    <w:rsid w:val="0040556A"/>
    <w:rsid w:val="004059A0"/>
    <w:rsid w:val="00410F9B"/>
    <w:rsid w:val="004176FE"/>
    <w:rsid w:val="00417845"/>
    <w:rsid w:val="00417DE5"/>
    <w:rsid w:val="00424E35"/>
    <w:rsid w:val="0043191E"/>
    <w:rsid w:val="00431C77"/>
    <w:rsid w:val="00432205"/>
    <w:rsid w:val="0043229A"/>
    <w:rsid w:val="0043263C"/>
    <w:rsid w:val="00434D8F"/>
    <w:rsid w:val="0044392C"/>
    <w:rsid w:val="004441A2"/>
    <w:rsid w:val="00444706"/>
    <w:rsid w:val="00454568"/>
    <w:rsid w:val="004552AD"/>
    <w:rsid w:val="00455AAA"/>
    <w:rsid w:val="00455E3C"/>
    <w:rsid w:val="00466E9D"/>
    <w:rsid w:val="0047086B"/>
    <w:rsid w:val="00476158"/>
    <w:rsid w:val="00476B16"/>
    <w:rsid w:val="00490CBC"/>
    <w:rsid w:val="00491AE7"/>
    <w:rsid w:val="004A0A9B"/>
    <w:rsid w:val="004C2C5A"/>
    <w:rsid w:val="004C5C83"/>
    <w:rsid w:val="004E14AF"/>
    <w:rsid w:val="004E687E"/>
    <w:rsid w:val="004F7B0E"/>
    <w:rsid w:val="004F7CC6"/>
    <w:rsid w:val="00502AAA"/>
    <w:rsid w:val="00503165"/>
    <w:rsid w:val="00510C22"/>
    <w:rsid w:val="00511AC4"/>
    <w:rsid w:val="0051406B"/>
    <w:rsid w:val="00515942"/>
    <w:rsid w:val="00515BB6"/>
    <w:rsid w:val="00525DF9"/>
    <w:rsid w:val="00527FC7"/>
    <w:rsid w:val="0053178B"/>
    <w:rsid w:val="005377FD"/>
    <w:rsid w:val="005413F3"/>
    <w:rsid w:val="00544E0A"/>
    <w:rsid w:val="00546D70"/>
    <w:rsid w:val="00550213"/>
    <w:rsid w:val="00551EB0"/>
    <w:rsid w:val="005551A8"/>
    <w:rsid w:val="0055796F"/>
    <w:rsid w:val="00565AAB"/>
    <w:rsid w:val="00567F8B"/>
    <w:rsid w:val="00567FCA"/>
    <w:rsid w:val="00572BDA"/>
    <w:rsid w:val="00580129"/>
    <w:rsid w:val="005859BA"/>
    <w:rsid w:val="005904A1"/>
    <w:rsid w:val="00594FBE"/>
    <w:rsid w:val="005A3F2A"/>
    <w:rsid w:val="005A558E"/>
    <w:rsid w:val="005A6618"/>
    <w:rsid w:val="005A7655"/>
    <w:rsid w:val="005A7995"/>
    <w:rsid w:val="005B2963"/>
    <w:rsid w:val="005C6E8C"/>
    <w:rsid w:val="005D389E"/>
    <w:rsid w:val="005D7930"/>
    <w:rsid w:val="005E2C97"/>
    <w:rsid w:val="005E2E64"/>
    <w:rsid w:val="005E6186"/>
    <w:rsid w:val="005F4CE3"/>
    <w:rsid w:val="00601E8C"/>
    <w:rsid w:val="00605000"/>
    <w:rsid w:val="006064E7"/>
    <w:rsid w:val="00607BA9"/>
    <w:rsid w:val="006122AF"/>
    <w:rsid w:val="00621539"/>
    <w:rsid w:val="006224BF"/>
    <w:rsid w:val="00626B99"/>
    <w:rsid w:val="00626DCA"/>
    <w:rsid w:val="00630A7C"/>
    <w:rsid w:val="00630AFD"/>
    <w:rsid w:val="00631B77"/>
    <w:rsid w:val="006371DF"/>
    <w:rsid w:val="00644110"/>
    <w:rsid w:val="00653207"/>
    <w:rsid w:val="00661917"/>
    <w:rsid w:val="00662CF3"/>
    <w:rsid w:val="00666839"/>
    <w:rsid w:val="00666F7D"/>
    <w:rsid w:val="006760C1"/>
    <w:rsid w:val="00677D45"/>
    <w:rsid w:val="0068053D"/>
    <w:rsid w:val="006821DE"/>
    <w:rsid w:val="00687D88"/>
    <w:rsid w:val="00690192"/>
    <w:rsid w:val="00693BA7"/>
    <w:rsid w:val="00694D0B"/>
    <w:rsid w:val="00695623"/>
    <w:rsid w:val="006A3000"/>
    <w:rsid w:val="006A49E9"/>
    <w:rsid w:val="006A55AA"/>
    <w:rsid w:val="006A67B2"/>
    <w:rsid w:val="006A69AA"/>
    <w:rsid w:val="006B31FC"/>
    <w:rsid w:val="006B4BBE"/>
    <w:rsid w:val="006C1B35"/>
    <w:rsid w:val="006D5E04"/>
    <w:rsid w:val="006E4971"/>
    <w:rsid w:val="006F0426"/>
    <w:rsid w:val="006F1D77"/>
    <w:rsid w:val="00703DB0"/>
    <w:rsid w:val="00712EB6"/>
    <w:rsid w:val="00717FCC"/>
    <w:rsid w:val="007256EE"/>
    <w:rsid w:val="007338F2"/>
    <w:rsid w:val="00740FBF"/>
    <w:rsid w:val="007412F3"/>
    <w:rsid w:val="00743797"/>
    <w:rsid w:val="007466F9"/>
    <w:rsid w:val="00752BDC"/>
    <w:rsid w:val="0075341E"/>
    <w:rsid w:val="00755915"/>
    <w:rsid w:val="00755B1A"/>
    <w:rsid w:val="00756191"/>
    <w:rsid w:val="00757DCF"/>
    <w:rsid w:val="00765351"/>
    <w:rsid w:val="0077166F"/>
    <w:rsid w:val="00773373"/>
    <w:rsid w:val="00780D15"/>
    <w:rsid w:val="0078323B"/>
    <w:rsid w:val="007842F9"/>
    <w:rsid w:val="007865E9"/>
    <w:rsid w:val="00792FCD"/>
    <w:rsid w:val="00793A2C"/>
    <w:rsid w:val="007970C0"/>
    <w:rsid w:val="007A5AF5"/>
    <w:rsid w:val="007A7D10"/>
    <w:rsid w:val="007B0A68"/>
    <w:rsid w:val="007B0B05"/>
    <w:rsid w:val="007B7B7D"/>
    <w:rsid w:val="007C05D4"/>
    <w:rsid w:val="007C1E0B"/>
    <w:rsid w:val="007C2D22"/>
    <w:rsid w:val="007C42F6"/>
    <w:rsid w:val="007C4FAE"/>
    <w:rsid w:val="007C684C"/>
    <w:rsid w:val="007C6DF5"/>
    <w:rsid w:val="007D0AA6"/>
    <w:rsid w:val="007D2256"/>
    <w:rsid w:val="007F0712"/>
    <w:rsid w:val="007F35E4"/>
    <w:rsid w:val="007F5D26"/>
    <w:rsid w:val="007F5E02"/>
    <w:rsid w:val="007F687D"/>
    <w:rsid w:val="00807051"/>
    <w:rsid w:val="00810E2D"/>
    <w:rsid w:val="00813720"/>
    <w:rsid w:val="008145DC"/>
    <w:rsid w:val="008149EF"/>
    <w:rsid w:val="0082297A"/>
    <w:rsid w:val="00823901"/>
    <w:rsid w:val="00825EEF"/>
    <w:rsid w:val="00826725"/>
    <w:rsid w:val="00827E66"/>
    <w:rsid w:val="00831C32"/>
    <w:rsid w:val="0083202A"/>
    <w:rsid w:val="00832B67"/>
    <w:rsid w:val="00835244"/>
    <w:rsid w:val="00835E26"/>
    <w:rsid w:val="00837964"/>
    <w:rsid w:val="0084060F"/>
    <w:rsid w:val="008449C3"/>
    <w:rsid w:val="008455EF"/>
    <w:rsid w:val="00845AA1"/>
    <w:rsid w:val="00851E85"/>
    <w:rsid w:val="00852C0C"/>
    <w:rsid w:val="00852E47"/>
    <w:rsid w:val="00853163"/>
    <w:rsid w:val="00854D5D"/>
    <w:rsid w:val="00856061"/>
    <w:rsid w:val="00857179"/>
    <w:rsid w:val="00860D9B"/>
    <w:rsid w:val="00864DA8"/>
    <w:rsid w:val="00881303"/>
    <w:rsid w:val="00881A7B"/>
    <w:rsid w:val="00893E99"/>
    <w:rsid w:val="008A4063"/>
    <w:rsid w:val="008A461F"/>
    <w:rsid w:val="008A4AE1"/>
    <w:rsid w:val="008B74BB"/>
    <w:rsid w:val="008C261F"/>
    <w:rsid w:val="008C48E1"/>
    <w:rsid w:val="008C5DBE"/>
    <w:rsid w:val="008E32AF"/>
    <w:rsid w:val="008E469E"/>
    <w:rsid w:val="008E5E6A"/>
    <w:rsid w:val="008F0992"/>
    <w:rsid w:val="009011D7"/>
    <w:rsid w:val="00901664"/>
    <w:rsid w:val="00904AA0"/>
    <w:rsid w:val="0090667D"/>
    <w:rsid w:val="0090763C"/>
    <w:rsid w:val="00910F1E"/>
    <w:rsid w:val="009119B4"/>
    <w:rsid w:val="0091687E"/>
    <w:rsid w:val="00917281"/>
    <w:rsid w:val="00922269"/>
    <w:rsid w:val="009261A5"/>
    <w:rsid w:val="00927B6F"/>
    <w:rsid w:val="009304FB"/>
    <w:rsid w:val="009362E5"/>
    <w:rsid w:val="00936715"/>
    <w:rsid w:val="0094006C"/>
    <w:rsid w:val="009448BB"/>
    <w:rsid w:val="00950C9C"/>
    <w:rsid w:val="00953367"/>
    <w:rsid w:val="00953E65"/>
    <w:rsid w:val="00957D03"/>
    <w:rsid w:val="00961C4E"/>
    <w:rsid w:val="00964045"/>
    <w:rsid w:val="00974C4A"/>
    <w:rsid w:val="00980739"/>
    <w:rsid w:val="009856CB"/>
    <w:rsid w:val="00992DDC"/>
    <w:rsid w:val="0099410C"/>
    <w:rsid w:val="009955E9"/>
    <w:rsid w:val="009A408B"/>
    <w:rsid w:val="009A445C"/>
    <w:rsid w:val="009A65AE"/>
    <w:rsid w:val="009B3174"/>
    <w:rsid w:val="009B6818"/>
    <w:rsid w:val="009B7E74"/>
    <w:rsid w:val="009C5C57"/>
    <w:rsid w:val="009C5F1A"/>
    <w:rsid w:val="009D30A9"/>
    <w:rsid w:val="009E0003"/>
    <w:rsid w:val="009E4E9B"/>
    <w:rsid w:val="009F09AC"/>
    <w:rsid w:val="009F638D"/>
    <w:rsid w:val="009F641F"/>
    <w:rsid w:val="009F6A95"/>
    <w:rsid w:val="00A0043C"/>
    <w:rsid w:val="00A10FD9"/>
    <w:rsid w:val="00A12D0E"/>
    <w:rsid w:val="00A16E58"/>
    <w:rsid w:val="00A2036F"/>
    <w:rsid w:val="00A20EC8"/>
    <w:rsid w:val="00A20F00"/>
    <w:rsid w:val="00A23472"/>
    <w:rsid w:val="00A24692"/>
    <w:rsid w:val="00A25AD8"/>
    <w:rsid w:val="00A314D8"/>
    <w:rsid w:val="00A3597C"/>
    <w:rsid w:val="00A4525D"/>
    <w:rsid w:val="00A4651C"/>
    <w:rsid w:val="00A7268E"/>
    <w:rsid w:val="00A73D81"/>
    <w:rsid w:val="00A81BC3"/>
    <w:rsid w:val="00A834EC"/>
    <w:rsid w:val="00A866CA"/>
    <w:rsid w:val="00A93DA6"/>
    <w:rsid w:val="00AA053C"/>
    <w:rsid w:val="00AA2E9A"/>
    <w:rsid w:val="00AA605A"/>
    <w:rsid w:val="00AB1BE3"/>
    <w:rsid w:val="00AB24B1"/>
    <w:rsid w:val="00AB4BBB"/>
    <w:rsid w:val="00AB6F7E"/>
    <w:rsid w:val="00AC57CA"/>
    <w:rsid w:val="00AD3BC3"/>
    <w:rsid w:val="00AD62B6"/>
    <w:rsid w:val="00AD7356"/>
    <w:rsid w:val="00AE27FF"/>
    <w:rsid w:val="00AE2C05"/>
    <w:rsid w:val="00AE6FBA"/>
    <w:rsid w:val="00AF7C74"/>
    <w:rsid w:val="00B01633"/>
    <w:rsid w:val="00B07876"/>
    <w:rsid w:val="00B108D5"/>
    <w:rsid w:val="00B111A1"/>
    <w:rsid w:val="00B14744"/>
    <w:rsid w:val="00B165DC"/>
    <w:rsid w:val="00B174EC"/>
    <w:rsid w:val="00B255B3"/>
    <w:rsid w:val="00B25ABF"/>
    <w:rsid w:val="00B26782"/>
    <w:rsid w:val="00B2762D"/>
    <w:rsid w:val="00B332B4"/>
    <w:rsid w:val="00B350BA"/>
    <w:rsid w:val="00B35872"/>
    <w:rsid w:val="00B407B0"/>
    <w:rsid w:val="00B41418"/>
    <w:rsid w:val="00B428FA"/>
    <w:rsid w:val="00B44790"/>
    <w:rsid w:val="00B504B3"/>
    <w:rsid w:val="00B6135D"/>
    <w:rsid w:val="00B62674"/>
    <w:rsid w:val="00B7119F"/>
    <w:rsid w:val="00B732E7"/>
    <w:rsid w:val="00B75648"/>
    <w:rsid w:val="00B819E0"/>
    <w:rsid w:val="00B849B0"/>
    <w:rsid w:val="00B87FD9"/>
    <w:rsid w:val="00B90454"/>
    <w:rsid w:val="00B90E68"/>
    <w:rsid w:val="00B97B35"/>
    <w:rsid w:val="00BA6EAC"/>
    <w:rsid w:val="00BB0466"/>
    <w:rsid w:val="00BB224C"/>
    <w:rsid w:val="00BB2DD0"/>
    <w:rsid w:val="00BB7FB8"/>
    <w:rsid w:val="00BC33B9"/>
    <w:rsid w:val="00BC39B2"/>
    <w:rsid w:val="00BC3A41"/>
    <w:rsid w:val="00BC5C04"/>
    <w:rsid w:val="00BC7227"/>
    <w:rsid w:val="00BC7538"/>
    <w:rsid w:val="00BD3789"/>
    <w:rsid w:val="00BE0AA0"/>
    <w:rsid w:val="00BE1445"/>
    <w:rsid w:val="00BE2AF6"/>
    <w:rsid w:val="00BE48C2"/>
    <w:rsid w:val="00BE4D0C"/>
    <w:rsid w:val="00BE5401"/>
    <w:rsid w:val="00BE6CB7"/>
    <w:rsid w:val="00C036A7"/>
    <w:rsid w:val="00C060EB"/>
    <w:rsid w:val="00C100DF"/>
    <w:rsid w:val="00C153E3"/>
    <w:rsid w:val="00C1647A"/>
    <w:rsid w:val="00C175DF"/>
    <w:rsid w:val="00C21AB8"/>
    <w:rsid w:val="00C276DE"/>
    <w:rsid w:val="00C31454"/>
    <w:rsid w:val="00C324B1"/>
    <w:rsid w:val="00C32767"/>
    <w:rsid w:val="00C331F0"/>
    <w:rsid w:val="00C35BCA"/>
    <w:rsid w:val="00C41C6C"/>
    <w:rsid w:val="00C457F4"/>
    <w:rsid w:val="00C6507E"/>
    <w:rsid w:val="00C67440"/>
    <w:rsid w:val="00C67E97"/>
    <w:rsid w:val="00C7134D"/>
    <w:rsid w:val="00C7460B"/>
    <w:rsid w:val="00C758E7"/>
    <w:rsid w:val="00C77752"/>
    <w:rsid w:val="00C83728"/>
    <w:rsid w:val="00C921F2"/>
    <w:rsid w:val="00C927E5"/>
    <w:rsid w:val="00C94908"/>
    <w:rsid w:val="00CA6D8A"/>
    <w:rsid w:val="00CA6FF9"/>
    <w:rsid w:val="00CA7EDE"/>
    <w:rsid w:val="00CB303A"/>
    <w:rsid w:val="00CB4E53"/>
    <w:rsid w:val="00CB62BD"/>
    <w:rsid w:val="00CC04AE"/>
    <w:rsid w:val="00CC203A"/>
    <w:rsid w:val="00CC68F7"/>
    <w:rsid w:val="00CC7486"/>
    <w:rsid w:val="00CD06A8"/>
    <w:rsid w:val="00CD457B"/>
    <w:rsid w:val="00CD5739"/>
    <w:rsid w:val="00CE1C68"/>
    <w:rsid w:val="00CE3403"/>
    <w:rsid w:val="00CE43FD"/>
    <w:rsid w:val="00CE730D"/>
    <w:rsid w:val="00CF08AB"/>
    <w:rsid w:val="00CF1729"/>
    <w:rsid w:val="00CF28C1"/>
    <w:rsid w:val="00CF3E76"/>
    <w:rsid w:val="00CF5A33"/>
    <w:rsid w:val="00CF72E1"/>
    <w:rsid w:val="00CF7586"/>
    <w:rsid w:val="00CF7ABC"/>
    <w:rsid w:val="00D0044D"/>
    <w:rsid w:val="00D06731"/>
    <w:rsid w:val="00D11099"/>
    <w:rsid w:val="00D12196"/>
    <w:rsid w:val="00D1490B"/>
    <w:rsid w:val="00D173B7"/>
    <w:rsid w:val="00D21EFF"/>
    <w:rsid w:val="00D23674"/>
    <w:rsid w:val="00D26CF7"/>
    <w:rsid w:val="00D318E5"/>
    <w:rsid w:val="00D31E70"/>
    <w:rsid w:val="00D41D6C"/>
    <w:rsid w:val="00D45535"/>
    <w:rsid w:val="00D528BD"/>
    <w:rsid w:val="00D52E1B"/>
    <w:rsid w:val="00D530D8"/>
    <w:rsid w:val="00D638D8"/>
    <w:rsid w:val="00D63A87"/>
    <w:rsid w:val="00D644DB"/>
    <w:rsid w:val="00D704DE"/>
    <w:rsid w:val="00D708A9"/>
    <w:rsid w:val="00D7575B"/>
    <w:rsid w:val="00D75EF5"/>
    <w:rsid w:val="00D77328"/>
    <w:rsid w:val="00D8069D"/>
    <w:rsid w:val="00D80F30"/>
    <w:rsid w:val="00D812E6"/>
    <w:rsid w:val="00D82DF7"/>
    <w:rsid w:val="00D85AE9"/>
    <w:rsid w:val="00D87BE1"/>
    <w:rsid w:val="00D92F63"/>
    <w:rsid w:val="00D93090"/>
    <w:rsid w:val="00D9403D"/>
    <w:rsid w:val="00DA12C0"/>
    <w:rsid w:val="00DA40BC"/>
    <w:rsid w:val="00DA5727"/>
    <w:rsid w:val="00DB150E"/>
    <w:rsid w:val="00DB18A2"/>
    <w:rsid w:val="00DC1B7B"/>
    <w:rsid w:val="00DC7A44"/>
    <w:rsid w:val="00DD6429"/>
    <w:rsid w:val="00DE35C1"/>
    <w:rsid w:val="00DE4373"/>
    <w:rsid w:val="00DE6471"/>
    <w:rsid w:val="00DF1AA0"/>
    <w:rsid w:val="00DF44EB"/>
    <w:rsid w:val="00E01342"/>
    <w:rsid w:val="00E022E4"/>
    <w:rsid w:val="00E026B6"/>
    <w:rsid w:val="00E03854"/>
    <w:rsid w:val="00E050C8"/>
    <w:rsid w:val="00E075E9"/>
    <w:rsid w:val="00E1067F"/>
    <w:rsid w:val="00E16B73"/>
    <w:rsid w:val="00E17AB4"/>
    <w:rsid w:val="00E17F2C"/>
    <w:rsid w:val="00E20831"/>
    <w:rsid w:val="00E223BB"/>
    <w:rsid w:val="00E23D7B"/>
    <w:rsid w:val="00E323F2"/>
    <w:rsid w:val="00E326B7"/>
    <w:rsid w:val="00E33362"/>
    <w:rsid w:val="00E35BF5"/>
    <w:rsid w:val="00E45EE4"/>
    <w:rsid w:val="00E5104E"/>
    <w:rsid w:val="00E52807"/>
    <w:rsid w:val="00E57E4A"/>
    <w:rsid w:val="00E63E7A"/>
    <w:rsid w:val="00E66C01"/>
    <w:rsid w:val="00E70605"/>
    <w:rsid w:val="00E70ECE"/>
    <w:rsid w:val="00E724E6"/>
    <w:rsid w:val="00E7504C"/>
    <w:rsid w:val="00E8408E"/>
    <w:rsid w:val="00E87E32"/>
    <w:rsid w:val="00E87F22"/>
    <w:rsid w:val="00EA3B2C"/>
    <w:rsid w:val="00EA78E9"/>
    <w:rsid w:val="00EB138C"/>
    <w:rsid w:val="00EB259B"/>
    <w:rsid w:val="00EB5494"/>
    <w:rsid w:val="00EC1C6D"/>
    <w:rsid w:val="00EC5148"/>
    <w:rsid w:val="00EC7B48"/>
    <w:rsid w:val="00ED4F5D"/>
    <w:rsid w:val="00EE25DC"/>
    <w:rsid w:val="00EF030C"/>
    <w:rsid w:val="00EF4696"/>
    <w:rsid w:val="00EF556F"/>
    <w:rsid w:val="00F0325F"/>
    <w:rsid w:val="00F037E0"/>
    <w:rsid w:val="00F0452F"/>
    <w:rsid w:val="00F123C7"/>
    <w:rsid w:val="00F22895"/>
    <w:rsid w:val="00F23926"/>
    <w:rsid w:val="00F30F80"/>
    <w:rsid w:val="00F366B0"/>
    <w:rsid w:val="00F42112"/>
    <w:rsid w:val="00F425D4"/>
    <w:rsid w:val="00F43C0F"/>
    <w:rsid w:val="00F43E2F"/>
    <w:rsid w:val="00F44745"/>
    <w:rsid w:val="00F46AF7"/>
    <w:rsid w:val="00F50DC7"/>
    <w:rsid w:val="00F53250"/>
    <w:rsid w:val="00F54359"/>
    <w:rsid w:val="00F543F0"/>
    <w:rsid w:val="00F562A9"/>
    <w:rsid w:val="00F65200"/>
    <w:rsid w:val="00F724FC"/>
    <w:rsid w:val="00F769FF"/>
    <w:rsid w:val="00F8276A"/>
    <w:rsid w:val="00F84074"/>
    <w:rsid w:val="00F85F95"/>
    <w:rsid w:val="00F86D4B"/>
    <w:rsid w:val="00F87CB0"/>
    <w:rsid w:val="00F90CA6"/>
    <w:rsid w:val="00F9584C"/>
    <w:rsid w:val="00FA681D"/>
    <w:rsid w:val="00FB0DE8"/>
    <w:rsid w:val="00FB6E51"/>
    <w:rsid w:val="00FC54DC"/>
    <w:rsid w:val="00FC66D0"/>
    <w:rsid w:val="00FC7074"/>
    <w:rsid w:val="00FD38EB"/>
    <w:rsid w:val="00FD4AA2"/>
    <w:rsid w:val="00FD6F01"/>
    <w:rsid w:val="00FE2333"/>
    <w:rsid w:val="00FE4B38"/>
    <w:rsid w:val="00FE78DF"/>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5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styleId="UnresolvedMention">
    <w:name w:val="Unresolved Mention"/>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 w:type="paragraph" w:styleId="NormalWeb">
    <w:name w:val="Normal (Web)"/>
    <w:basedOn w:val="Normal"/>
    <w:uiPriority w:val="99"/>
    <w:semiHidden/>
    <w:unhideWhenUsed/>
    <w:rsid w:val="00E23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E23D7B"/>
  </w:style>
  <w:style w:type="character" w:customStyle="1" w:styleId="fontstyle01">
    <w:name w:val="fontstyle01"/>
    <w:basedOn w:val="DefaultParagraphFont"/>
    <w:rsid w:val="007C1E0B"/>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8266">
      <w:bodyDiv w:val="1"/>
      <w:marLeft w:val="0"/>
      <w:marRight w:val="0"/>
      <w:marTop w:val="0"/>
      <w:marBottom w:val="0"/>
      <w:divBdr>
        <w:top w:val="none" w:sz="0" w:space="0" w:color="auto"/>
        <w:left w:val="none" w:sz="0" w:space="0" w:color="auto"/>
        <w:bottom w:val="none" w:sz="0" w:space="0" w:color="auto"/>
        <w:right w:val="none" w:sz="0" w:space="0" w:color="auto"/>
      </w:divBdr>
    </w:div>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1173036485">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57364-F900-4D97-9CEE-746AF7247549}"/>
</file>

<file path=customXml/itemProps2.xml><?xml version="1.0" encoding="utf-8"?>
<ds:datastoreItem xmlns:ds="http://schemas.openxmlformats.org/officeDocument/2006/customXml" ds:itemID="{B7823BB6-7063-4559-99F1-516154707186}"/>
</file>

<file path=customXml/itemProps3.xml><?xml version="1.0" encoding="utf-8"?>
<ds:datastoreItem xmlns:ds="http://schemas.openxmlformats.org/officeDocument/2006/customXml" ds:itemID="{BED924A7-91FC-4EED-8A0E-1F513314674E}"/>
</file>

<file path=customXml/itemProps4.xml><?xml version="1.0" encoding="utf-8"?>
<ds:datastoreItem xmlns:ds="http://schemas.openxmlformats.org/officeDocument/2006/customXml" ds:itemID="{57157364-F900-4D97-9CEE-746AF7247549}">
  <ds:schemaRefs>
    <ds:schemaRef ds:uri="http://schemas.microsoft.com/sharepoint/v3/contenttype/forms"/>
  </ds:schemaRefs>
</ds:datastoreItem>
</file>

<file path=customXml/itemProps5.xml><?xml version="1.0" encoding="utf-8"?>
<ds:datastoreItem xmlns:ds="http://schemas.openxmlformats.org/officeDocument/2006/customXml" ds:itemID="{9ECCFE78-17A5-4B4B-BA09-6C95743A3A7E}"/>
</file>

<file path=docProps/app.xml><?xml version="1.0" encoding="utf-8"?>
<Properties xmlns="http://schemas.openxmlformats.org/officeDocument/2006/extended-properties" xmlns:vt="http://schemas.openxmlformats.org/officeDocument/2006/docPropsVTypes">
  <Template>Normal.dotm</Template>
  <TotalTime>0</TotalTime>
  <Pages>1</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Links>
    <vt:vector size="18" baseType="variant">
      <vt:variant>
        <vt:i4>5636204</vt:i4>
      </vt:variant>
      <vt:variant>
        <vt:i4>6</vt:i4>
      </vt:variant>
      <vt:variant>
        <vt:i4>0</vt:i4>
      </vt:variant>
      <vt:variant>
        <vt:i4>5</vt:i4>
      </vt:variant>
      <vt:variant>
        <vt:lpwstr>mailto:SLFRP@treasury.gov</vt:lpwstr>
      </vt:variant>
      <vt:variant>
        <vt:lpwstr/>
      </vt:variant>
      <vt:variant>
        <vt:i4>4915275</vt:i4>
      </vt:variant>
      <vt:variant>
        <vt:i4>3</vt:i4>
      </vt:variant>
      <vt:variant>
        <vt:i4>0</vt:i4>
      </vt:variant>
      <vt:variant>
        <vt:i4>5</vt:i4>
      </vt:variant>
      <vt:variant>
        <vt:lpwstr>http://www.treasury.gov/SLFRP</vt:lpwstr>
      </vt:variant>
      <vt:variant>
        <vt:lpwstr/>
      </vt:variant>
      <vt:variant>
        <vt:i4>3604579</vt:i4>
      </vt:variant>
      <vt:variant>
        <vt:i4>0</vt:i4>
      </vt:variant>
      <vt:variant>
        <vt:i4>0</vt:i4>
      </vt:variant>
      <vt:variant>
        <vt:i4>5</vt:i4>
      </vt:variant>
      <vt:variant>
        <vt:lpwstr>https://home.treasury.gov/system/files/136/SLFRF-Compliance-and-Reporting-Guidance.pdf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2022-11-23T16:03:00Z</dcterms:created>
  <dcterms:modified xsi:type="dcterms:W3CDTF">2022-11-23T16:03:00Z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